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4296E">
      <w:pPr>
        <w:adjustRightInd w:val="0"/>
        <w:snapToGrid w:val="0"/>
        <w:spacing w:line="240" w:lineRule="auto"/>
        <w:jc w:val="center"/>
        <w:rPr>
          <w:rFonts w:hint="eastAsia" w:ascii="黑体" w:hAnsi="黑体" w:eastAsia="黑体" w:cs="黑体"/>
          <w:b/>
          <w:bCs/>
          <w:sz w:val="44"/>
          <w:szCs w:val="44"/>
        </w:rPr>
      </w:pPr>
      <w:r>
        <w:rPr>
          <w:rFonts w:hint="eastAsia" w:ascii="黑体" w:hAnsi="黑体" w:eastAsia="黑体" w:cs="黑体"/>
          <w:b/>
          <w:bCs/>
          <w:sz w:val="44"/>
          <w:szCs w:val="44"/>
        </w:rPr>
        <w:t>北京</w:t>
      </w:r>
      <w:r>
        <w:rPr>
          <w:rFonts w:hint="eastAsia" w:ascii="黑体" w:hAnsi="黑体" w:eastAsia="黑体" w:cs="黑体"/>
          <w:b/>
          <w:bCs/>
          <w:sz w:val="44"/>
          <w:szCs w:val="44"/>
          <w:lang w:val="en-US" w:eastAsia="zh-CN"/>
        </w:rPr>
        <w:t>济康</w:t>
      </w:r>
      <w:r>
        <w:rPr>
          <w:rFonts w:hint="eastAsia" w:ascii="黑体" w:hAnsi="黑体" w:eastAsia="黑体" w:cs="黑体"/>
          <w:b/>
          <w:bCs/>
          <w:sz w:val="44"/>
          <w:szCs w:val="44"/>
        </w:rPr>
        <w:t>公益基金会</w:t>
      </w:r>
    </w:p>
    <w:p w14:paraId="5D6976C0">
      <w:pPr>
        <w:adjustRightInd w:val="0"/>
        <w:snapToGrid w:val="0"/>
        <w:spacing w:line="240" w:lineRule="auto"/>
        <w:jc w:val="center"/>
        <w:rPr>
          <w:rFonts w:hint="eastAsia" w:ascii="黑体" w:hAnsi="黑体" w:eastAsia="黑体" w:cs="黑体"/>
          <w:b/>
          <w:bCs/>
          <w:sz w:val="44"/>
          <w:szCs w:val="44"/>
        </w:rPr>
      </w:pPr>
      <w:r>
        <w:rPr>
          <w:rFonts w:hint="eastAsia" w:ascii="黑体" w:hAnsi="黑体" w:eastAsia="黑体" w:cs="黑体"/>
          <w:b/>
          <w:bCs/>
          <w:sz w:val="44"/>
          <w:szCs w:val="44"/>
        </w:rPr>
        <w:t>关联交易管理制度</w:t>
      </w:r>
    </w:p>
    <w:p w14:paraId="31CEEE44">
      <w:pPr>
        <w:adjustRightInd w:val="0"/>
        <w:snapToGrid w:val="0"/>
        <w:spacing w:line="240" w:lineRule="auto"/>
        <w:jc w:val="center"/>
        <w:rPr>
          <w:rFonts w:hint="eastAsia" w:ascii="黑体" w:hAnsi="黑体" w:eastAsia="黑体" w:cs="黑体"/>
          <w:b/>
          <w:bCs/>
          <w:sz w:val="44"/>
          <w:szCs w:val="44"/>
        </w:rPr>
      </w:pPr>
    </w:p>
    <w:p w14:paraId="38F31FDF">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第一章  总  则</w:t>
      </w:r>
    </w:p>
    <w:p w14:paraId="2D0ED153">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第一条</w:t>
      </w:r>
      <w:r>
        <w:rPr>
          <w:rFonts w:hint="eastAsia" w:ascii="仿宋" w:hAnsi="仿宋" w:eastAsia="仿宋" w:cs="仿宋"/>
          <w:sz w:val="32"/>
          <w:szCs w:val="32"/>
        </w:rPr>
        <w:t xml:space="preserve">  为保证北京</w:t>
      </w:r>
      <w:r>
        <w:rPr>
          <w:rFonts w:hint="eastAsia" w:ascii="仿宋" w:hAnsi="仿宋" w:eastAsia="仿宋" w:cs="仿宋"/>
          <w:sz w:val="32"/>
          <w:szCs w:val="32"/>
          <w:lang w:val="en-US" w:eastAsia="zh-CN"/>
        </w:rPr>
        <w:t>济康</w:t>
      </w:r>
      <w:r>
        <w:rPr>
          <w:rFonts w:hint="eastAsia" w:ascii="仿宋" w:hAnsi="仿宋" w:eastAsia="仿宋" w:cs="仿宋"/>
          <w:sz w:val="32"/>
          <w:szCs w:val="32"/>
        </w:rPr>
        <w:t>公益基金会（以下简称基金会）与关联方之间的关联交易符合公平、公正、公开的原则，确保关联交易行为不损害基金会与非关联方的合法权益。根据《慈善法》、《企业会计准则》、《民间非营利组织会计制度》、《基金会管理条例》、《北京</w:t>
      </w:r>
      <w:r>
        <w:rPr>
          <w:rFonts w:hint="eastAsia" w:ascii="仿宋" w:hAnsi="仿宋" w:eastAsia="仿宋" w:cs="仿宋"/>
          <w:sz w:val="32"/>
          <w:szCs w:val="32"/>
          <w:lang w:val="en-US" w:eastAsia="zh-CN"/>
        </w:rPr>
        <w:t>济康</w:t>
      </w:r>
      <w:r>
        <w:rPr>
          <w:rFonts w:hint="eastAsia" w:ascii="仿宋" w:hAnsi="仿宋" w:eastAsia="仿宋" w:cs="仿宋"/>
          <w:sz w:val="32"/>
          <w:szCs w:val="32"/>
        </w:rPr>
        <w:t>公益基金会章程》，特制定本制度。</w:t>
      </w:r>
    </w:p>
    <w:p w14:paraId="15B1AF7C">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第二条</w:t>
      </w:r>
      <w:r>
        <w:rPr>
          <w:rFonts w:hint="eastAsia" w:ascii="仿宋" w:hAnsi="仿宋" w:eastAsia="仿宋" w:cs="仿宋"/>
          <w:sz w:val="32"/>
          <w:szCs w:val="32"/>
        </w:rPr>
        <w:t xml:space="preserve">  基金会的关联交易，是指基金会和具有关联关系的关联人之间发生的转移资源或义务的事项。</w:t>
      </w:r>
    </w:p>
    <w:p w14:paraId="754C1381">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第三条</w:t>
      </w:r>
      <w:r>
        <w:rPr>
          <w:rFonts w:hint="eastAsia" w:ascii="仿宋" w:hAnsi="仿宋" w:eastAsia="仿宋" w:cs="仿宋"/>
          <w:sz w:val="32"/>
          <w:szCs w:val="32"/>
        </w:rPr>
        <w:t xml:space="preserve">  基金会关联关系应当遵循以下原则：</w:t>
      </w:r>
    </w:p>
    <w:p w14:paraId="04993800">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（一）公平、公开、公正的原则；</w:t>
      </w:r>
    </w:p>
    <w:p w14:paraId="2D09F66E">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（二）平等、自愿、有偿、等价的原则；</w:t>
      </w:r>
    </w:p>
    <w:p w14:paraId="0105D166">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（三）基金会不得利用关联关系损害基金会合法权益；</w:t>
      </w:r>
    </w:p>
    <w:p w14:paraId="04F89736">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（四）基金会做关联交易表决时，有必要的可以聘请专业的财务、法律机构出具专业意见。</w:t>
      </w:r>
    </w:p>
    <w:p w14:paraId="184A710F">
      <w:pPr>
        <w:keepNext w:val="0"/>
        <w:keepLines w:val="0"/>
        <w:pageBreakBefore w:val="0"/>
        <w:widowControl w:val="0"/>
        <w:kinsoku/>
        <w:wordWrap/>
        <w:overflowPunct/>
        <w:topLinePunct w:val="0"/>
        <w:autoSpaceDE/>
        <w:autoSpaceDN/>
        <w:bidi w:val="0"/>
        <w:adjustRightInd w:val="0"/>
        <w:snapToGrid w:val="0"/>
        <w:spacing w:line="360" w:lineRule="auto"/>
        <w:ind w:firstLine="1922"/>
        <w:textAlignment w:val="auto"/>
        <w:rPr>
          <w:rFonts w:hint="eastAsia" w:ascii="仿宋" w:hAnsi="仿宋" w:eastAsia="仿宋" w:cs="仿宋"/>
          <w:sz w:val="32"/>
          <w:szCs w:val="32"/>
        </w:rPr>
      </w:pPr>
      <w:r>
        <w:rPr>
          <w:rFonts w:hint="eastAsia" w:ascii="仿宋" w:hAnsi="仿宋" w:eastAsia="仿宋" w:cs="仿宋"/>
          <w:b/>
          <w:bCs/>
          <w:sz w:val="32"/>
          <w:szCs w:val="32"/>
        </w:rPr>
        <w:t>第二章  关联人和关联交易范围</w:t>
      </w:r>
    </w:p>
    <w:p w14:paraId="792E5731">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第四条</w:t>
      </w:r>
      <w:r>
        <w:rPr>
          <w:rFonts w:hint="eastAsia" w:ascii="仿宋" w:hAnsi="仿宋" w:eastAsia="仿宋" w:cs="仿宋"/>
          <w:sz w:val="32"/>
          <w:szCs w:val="32"/>
        </w:rPr>
        <w:t xml:space="preserve">  本制度所称的关联关系，是指基金会的发起人、理事主要来源单位、投资的被投资方以及其他与基金会之间存在控制、共同控制或者重大影响关系的个人或者组织与基金会之间的关系。</w:t>
      </w:r>
    </w:p>
    <w:p w14:paraId="52819B08">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第五条</w:t>
      </w:r>
      <w:r>
        <w:rPr>
          <w:rFonts w:hint="eastAsia" w:ascii="仿宋" w:hAnsi="仿宋" w:eastAsia="仿宋" w:cs="仿宋"/>
          <w:sz w:val="32"/>
          <w:szCs w:val="32"/>
        </w:rPr>
        <w:t xml:space="preserve">  关联人具体包括：具有关联关系的自然人、法人和其他组织。</w:t>
      </w:r>
    </w:p>
    <w:p w14:paraId="52447D5F">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第六条</w:t>
      </w:r>
      <w:r>
        <w:rPr>
          <w:rFonts w:hint="eastAsia" w:ascii="仿宋" w:hAnsi="仿宋" w:eastAsia="仿宋" w:cs="仿宋"/>
          <w:sz w:val="32"/>
          <w:szCs w:val="32"/>
        </w:rPr>
        <w:t xml:space="preserve">  关联关系的自然人包括：基金会的发起人、基金会的理事、专项基金的负责人、工作人员等及上述人员的近亲属。</w:t>
      </w:r>
    </w:p>
    <w:p w14:paraId="0B3111BA">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第七条</w:t>
      </w:r>
      <w:r>
        <w:rPr>
          <w:rFonts w:hint="eastAsia" w:ascii="仿宋" w:hAnsi="仿宋" w:eastAsia="仿宋" w:cs="仿宋"/>
          <w:sz w:val="32"/>
          <w:szCs w:val="32"/>
        </w:rPr>
        <w:t xml:space="preserve">  关联关系的法人和其他组织包括：具有关联关系的自然人直接或者间接控制的企业、法人或者其他组织。</w:t>
      </w:r>
    </w:p>
    <w:p w14:paraId="58492333">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第八条</w:t>
      </w:r>
      <w:r>
        <w:rPr>
          <w:rFonts w:hint="eastAsia" w:ascii="仿宋" w:hAnsi="仿宋" w:eastAsia="仿宋" w:cs="仿宋"/>
          <w:sz w:val="32"/>
          <w:szCs w:val="32"/>
        </w:rPr>
        <w:t xml:space="preserve"> 本制度所指的关联交易包括但不限于下列事项：</w:t>
      </w:r>
    </w:p>
    <w:p w14:paraId="1269A52D">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一</w:t>
      </w:r>
      <w:r>
        <w:rPr>
          <w:rFonts w:hint="eastAsia" w:ascii="仿宋" w:hAnsi="仿宋" w:eastAsia="仿宋" w:cs="仿宋"/>
          <w:sz w:val="32"/>
          <w:szCs w:val="32"/>
        </w:rPr>
        <w:t>）有偿代理、租赁；</w:t>
      </w:r>
    </w:p>
    <w:p w14:paraId="23A5B7F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二</w:t>
      </w:r>
      <w:r>
        <w:rPr>
          <w:rFonts w:hint="eastAsia" w:ascii="仿宋" w:hAnsi="仿宋" w:eastAsia="仿宋" w:cs="仿宋"/>
          <w:sz w:val="32"/>
          <w:szCs w:val="32"/>
        </w:rPr>
        <w:t>）基金会向关联人提供资金；</w:t>
      </w:r>
    </w:p>
    <w:p w14:paraId="00E1D03B">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w:t>
      </w:r>
      <w:r>
        <w:rPr>
          <w:rFonts w:hint="eastAsia" w:ascii="仿宋" w:hAnsi="仿宋" w:eastAsia="仿宋" w:cs="仿宋"/>
          <w:sz w:val="32"/>
          <w:szCs w:val="32"/>
          <w:lang w:val="en-US" w:eastAsia="zh-CN"/>
        </w:rPr>
        <w:t>三</w:t>
      </w:r>
      <w:r>
        <w:rPr>
          <w:rFonts w:hint="eastAsia" w:ascii="仿宋" w:hAnsi="仿宋" w:eastAsia="仿宋" w:cs="仿宋"/>
          <w:sz w:val="32"/>
          <w:szCs w:val="32"/>
        </w:rPr>
        <w:t>）由关联人向基金会提供保值增值业务</w:t>
      </w:r>
      <w:r>
        <w:rPr>
          <w:rFonts w:hint="eastAsia" w:ascii="仿宋" w:hAnsi="仿宋" w:eastAsia="仿宋" w:cs="仿宋"/>
          <w:sz w:val="32"/>
          <w:szCs w:val="32"/>
          <w:lang w:eastAsia="zh-CN"/>
        </w:rPr>
        <w:t>。</w:t>
      </w:r>
    </w:p>
    <w:p w14:paraId="0D1C0790">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但关联交易受益人不属于关联人的交易事项除外。</w:t>
      </w:r>
    </w:p>
    <w:p w14:paraId="25B05E9D">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rPr>
        <w:t>第九条</w:t>
      </w:r>
      <w:r>
        <w:rPr>
          <w:rFonts w:hint="eastAsia" w:ascii="仿宋" w:hAnsi="仿宋" w:eastAsia="仿宋" w:cs="仿宋"/>
          <w:sz w:val="32"/>
          <w:szCs w:val="32"/>
        </w:rPr>
        <w:t xml:space="preserve">  本制度禁止由基金会向关联人自然人和关联法人提供担保</w:t>
      </w:r>
      <w:r>
        <w:rPr>
          <w:rFonts w:hint="eastAsia" w:ascii="仿宋" w:hAnsi="仿宋" w:eastAsia="仿宋" w:cs="仿宋"/>
          <w:sz w:val="32"/>
          <w:szCs w:val="32"/>
          <w:lang w:eastAsia="zh-CN"/>
        </w:rPr>
        <w:t>。</w:t>
      </w:r>
    </w:p>
    <w:p w14:paraId="5B227EE7">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第三章  关联交易决策</w:t>
      </w:r>
    </w:p>
    <w:p w14:paraId="569A2E74">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第十条</w:t>
      </w:r>
      <w:r>
        <w:rPr>
          <w:rFonts w:hint="eastAsia" w:ascii="仿宋" w:hAnsi="仿宋" w:eastAsia="仿宋" w:cs="仿宋"/>
          <w:sz w:val="32"/>
          <w:szCs w:val="32"/>
        </w:rPr>
        <w:t xml:space="preserve">  关联交易决策应符合以下条件：</w:t>
      </w:r>
    </w:p>
    <w:p w14:paraId="6234B90E">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（一）属于《基金会管理条例》或《基金会章程》规定的重大事项的，须经无关联关系理事三分之二以上通过方为有效；</w:t>
      </w:r>
    </w:p>
    <w:p w14:paraId="6BEFD7F4">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二</w:t>
      </w:r>
      <w:r>
        <w:rPr>
          <w:rFonts w:hint="eastAsia" w:ascii="仿宋" w:hAnsi="仿宋" w:eastAsia="仿宋" w:cs="仿宋"/>
          <w:sz w:val="32"/>
          <w:szCs w:val="32"/>
        </w:rPr>
        <w:t>）一般事项的表决需经</w:t>
      </w:r>
      <w:r>
        <w:rPr>
          <w:rFonts w:hint="eastAsia" w:ascii="仿宋" w:hAnsi="仿宋" w:eastAsia="仿宋" w:cs="仿宋"/>
          <w:sz w:val="32"/>
          <w:szCs w:val="32"/>
          <w:lang w:val="en-US" w:eastAsia="zh-CN"/>
        </w:rPr>
        <w:t>理事长办公会审议通过</w:t>
      </w:r>
      <w:r>
        <w:rPr>
          <w:rFonts w:hint="eastAsia" w:ascii="仿宋" w:hAnsi="仿宋" w:eastAsia="仿宋" w:cs="仿宋"/>
          <w:sz w:val="32"/>
          <w:szCs w:val="32"/>
        </w:rPr>
        <w:t>方为有效；</w:t>
      </w:r>
    </w:p>
    <w:p w14:paraId="7984D6B8">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专项基金下的项目管理及因具体公益项目所发生的交易行为按一般项目管理权限决策。</w:t>
      </w:r>
    </w:p>
    <w:p w14:paraId="65F5936A">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第十一条</w:t>
      </w:r>
      <w:r>
        <w:rPr>
          <w:rFonts w:hint="eastAsia" w:ascii="仿宋" w:hAnsi="仿宋" w:eastAsia="仿宋" w:cs="仿宋"/>
          <w:sz w:val="32"/>
          <w:szCs w:val="32"/>
        </w:rPr>
        <w:t xml:space="preserve">  根据本章规定批准实施的关联交易，基金会关联人在基金会签署涉及关联交易的协议时，应当采取必要的回避措施：</w:t>
      </w:r>
    </w:p>
    <w:p w14:paraId="2E4F64A1">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（一）任何人只能代表一方签署协议；</w:t>
      </w:r>
    </w:p>
    <w:p w14:paraId="20E03AA8">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（二）关联人不得以任何方式干预基金会的决定。</w:t>
      </w:r>
    </w:p>
    <w:p w14:paraId="55B525F3">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第四章  信息公开</w:t>
      </w:r>
    </w:p>
    <w:p w14:paraId="57F4CC23">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第十二条</w:t>
      </w:r>
      <w:r>
        <w:rPr>
          <w:rFonts w:hint="eastAsia" w:ascii="仿宋" w:hAnsi="仿宋" w:eastAsia="仿宋" w:cs="仿宋"/>
          <w:sz w:val="32"/>
          <w:szCs w:val="32"/>
        </w:rPr>
        <w:t xml:space="preserve">  基金会进行关联交易的，应依法进行信息公开。信息公开应当真实、完整、及时。披露信息包括：</w:t>
      </w:r>
    </w:p>
    <w:p w14:paraId="362F88D0">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（一）交易的金额；</w:t>
      </w:r>
    </w:p>
    <w:p w14:paraId="22540D1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（二）未结算项目的金额、条款和条件，以及有关提供或取得担保的信息；</w:t>
      </w:r>
    </w:p>
    <w:p w14:paraId="5668DE9C">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三</w:t>
      </w:r>
      <w:r>
        <w:rPr>
          <w:rFonts w:hint="eastAsia" w:ascii="仿宋" w:hAnsi="仿宋" w:eastAsia="仿宋" w:cs="仿宋"/>
          <w:sz w:val="32"/>
          <w:szCs w:val="32"/>
        </w:rPr>
        <w:t>）</w:t>
      </w:r>
      <w:r>
        <w:rPr>
          <w:rFonts w:hint="eastAsia" w:ascii="仿宋" w:hAnsi="仿宋" w:eastAsia="仿宋" w:cs="仿宋"/>
          <w:sz w:val="32"/>
          <w:szCs w:val="32"/>
          <w:lang w:val="en-US" w:eastAsia="zh-CN"/>
        </w:rPr>
        <w:t>比</w:t>
      </w:r>
      <w:r>
        <w:rPr>
          <w:rFonts w:hint="eastAsia" w:ascii="仿宋" w:hAnsi="仿宋" w:eastAsia="仿宋" w:cs="仿宋"/>
          <w:sz w:val="32"/>
          <w:szCs w:val="32"/>
        </w:rPr>
        <w:t>价政策。</w:t>
      </w:r>
    </w:p>
    <w:p w14:paraId="2923666B">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第十三条</w:t>
      </w:r>
      <w:r>
        <w:rPr>
          <w:rFonts w:hint="eastAsia" w:ascii="仿宋" w:hAnsi="仿宋" w:eastAsia="仿宋" w:cs="仿宋"/>
          <w:sz w:val="32"/>
          <w:szCs w:val="32"/>
        </w:rPr>
        <w:t xml:space="preserve">  基金会发生下列关联交易，应在交易发生后</w:t>
      </w:r>
      <w:r>
        <w:rPr>
          <w:rFonts w:hint="eastAsia" w:ascii="仿宋" w:hAnsi="仿宋" w:eastAsia="仿宋" w:cs="仿宋"/>
          <w:sz w:val="32"/>
          <w:szCs w:val="32"/>
          <w:lang w:val="en-US" w:eastAsia="zh-CN"/>
        </w:rPr>
        <w:t>及时</w:t>
      </w:r>
      <w:r>
        <w:rPr>
          <w:rFonts w:hint="eastAsia" w:ascii="仿宋" w:hAnsi="仿宋" w:eastAsia="仿宋" w:cs="仿宋"/>
          <w:sz w:val="32"/>
          <w:szCs w:val="32"/>
        </w:rPr>
        <w:t>在民政</w:t>
      </w:r>
      <w:r>
        <w:rPr>
          <w:rFonts w:hint="eastAsia" w:ascii="仿宋" w:hAnsi="仿宋" w:eastAsia="仿宋" w:cs="仿宋"/>
          <w:sz w:val="32"/>
          <w:szCs w:val="32"/>
          <w:lang w:val="en-US" w:eastAsia="zh-CN"/>
        </w:rPr>
        <w:t>部门</w:t>
      </w:r>
      <w:r>
        <w:rPr>
          <w:rFonts w:hint="eastAsia" w:ascii="仿宋" w:hAnsi="仿宋" w:eastAsia="仿宋" w:cs="仿宋"/>
          <w:sz w:val="32"/>
          <w:szCs w:val="32"/>
        </w:rPr>
        <w:t>统一信息平台向社会公开交易内容和金额：</w:t>
      </w:r>
    </w:p>
    <w:p w14:paraId="69FAC0A0">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（一）与重要关联方发生交易；</w:t>
      </w:r>
    </w:p>
    <w:p w14:paraId="413E2782">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（二）接受重要关联方捐赠；</w:t>
      </w:r>
    </w:p>
    <w:p w14:paraId="74611E0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（三）对重要关联方进行资助；</w:t>
      </w:r>
    </w:p>
    <w:p w14:paraId="5DF3B115">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（四）与重要关联方共同投资；</w:t>
      </w:r>
    </w:p>
    <w:p w14:paraId="17F1E464">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（五）委托重要关联方开展投资活动；</w:t>
      </w:r>
    </w:p>
    <w:p w14:paraId="2CE1E662">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（六）与重要关联方发生资金往来。</w:t>
      </w:r>
    </w:p>
    <w:p w14:paraId="61A363FD">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trike/>
          <w:dstrike w:val="0"/>
          <w:color w:val="C00000"/>
          <w:sz w:val="32"/>
          <w:szCs w:val="32"/>
        </w:rPr>
      </w:pPr>
    </w:p>
    <w:p w14:paraId="4C5185CC">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仿宋" w:hAnsi="仿宋" w:eastAsia="仿宋" w:cs="仿宋"/>
          <w:b/>
          <w:bCs/>
          <w:sz w:val="32"/>
          <w:szCs w:val="32"/>
        </w:rPr>
      </w:pPr>
      <w:r>
        <w:rPr>
          <w:rFonts w:hint="eastAsia" w:ascii="仿宋" w:hAnsi="仿宋" w:eastAsia="仿宋" w:cs="仿宋"/>
          <w:b/>
          <w:bCs/>
          <w:sz w:val="32"/>
          <w:szCs w:val="32"/>
        </w:rPr>
        <w:t>第五章  法律责任</w:t>
      </w:r>
    </w:p>
    <w:p w14:paraId="47B9E4D0">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第十五条</w:t>
      </w:r>
      <w:r>
        <w:rPr>
          <w:rFonts w:hint="eastAsia" w:ascii="仿宋" w:hAnsi="仿宋" w:eastAsia="仿宋" w:cs="仿宋"/>
          <w:sz w:val="32"/>
          <w:szCs w:val="32"/>
        </w:rPr>
        <w:t xml:space="preserve">  基金会理事会违反本办法进行关联交易，致使基金会遭受财产损失的，参与决策的理事需要承担相应的赔偿责任，在理事会决议当中明确提出否定意见的理事可以免责。</w:t>
      </w:r>
    </w:p>
    <w:p w14:paraId="52CA86FA">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第十六条</w:t>
      </w:r>
      <w:r>
        <w:rPr>
          <w:rFonts w:hint="eastAsia" w:ascii="仿宋" w:hAnsi="仿宋" w:eastAsia="仿宋" w:cs="仿宋"/>
          <w:sz w:val="32"/>
          <w:szCs w:val="32"/>
        </w:rPr>
        <w:t xml:space="preserve">  关联人违反本办法</w:t>
      </w:r>
      <w:bookmarkStart w:id="0" w:name="_Hlk529976259"/>
      <w:r>
        <w:rPr>
          <w:rFonts w:hint="eastAsia" w:ascii="仿宋" w:hAnsi="仿宋" w:eastAsia="仿宋" w:cs="仿宋"/>
          <w:sz w:val="32"/>
          <w:szCs w:val="32"/>
        </w:rPr>
        <w:t>进行关联交易</w:t>
      </w:r>
      <w:bookmarkEnd w:id="0"/>
      <w:r>
        <w:rPr>
          <w:rFonts w:hint="eastAsia" w:ascii="仿宋" w:hAnsi="仿宋" w:eastAsia="仿宋" w:cs="仿宋"/>
          <w:sz w:val="32"/>
          <w:szCs w:val="32"/>
        </w:rPr>
        <w:t>，侵占、挪用基金会财产的，应当退还非法占用的财产；构成犯罪的依法追究刑事责任。</w:t>
      </w:r>
    </w:p>
    <w:p w14:paraId="3A6CECED">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仿宋" w:hAnsi="仿宋" w:eastAsia="仿宋" w:cs="仿宋"/>
          <w:sz w:val="32"/>
          <w:szCs w:val="32"/>
        </w:rPr>
      </w:pPr>
      <w:r>
        <w:rPr>
          <w:rFonts w:hint="eastAsia" w:ascii="仿宋" w:hAnsi="仿宋" w:eastAsia="仿宋" w:cs="仿宋"/>
          <w:b/>
          <w:bCs/>
          <w:sz w:val="32"/>
          <w:szCs w:val="32"/>
        </w:rPr>
        <w:t>第六章  附  则</w:t>
      </w:r>
    </w:p>
    <w:p w14:paraId="67689964">
      <w:pPr>
        <w:keepNext w:val="0"/>
        <w:keepLines w:val="0"/>
        <w:pageBreakBefore w:val="0"/>
        <w:widowControl w:val="0"/>
        <w:kinsoku/>
        <w:wordWrap/>
        <w:overflowPunct/>
        <w:topLinePunct w:val="0"/>
        <w:autoSpaceDE/>
        <w:autoSpaceDN/>
        <w:bidi w:val="0"/>
        <w:adjustRightInd w:val="0"/>
        <w:snapToGrid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第十七条</w:t>
      </w:r>
      <w:r>
        <w:rPr>
          <w:rFonts w:hint="eastAsia" w:ascii="仿宋" w:hAnsi="仿宋" w:eastAsia="仿宋" w:cs="仿宋"/>
          <w:sz w:val="32"/>
          <w:szCs w:val="32"/>
        </w:rPr>
        <w:t xml:space="preserve">  </w:t>
      </w:r>
      <w:r>
        <w:rPr>
          <w:rFonts w:hint="eastAsia" w:ascii="仿宋" w:hAnsi="仿宋" w:eastAsia="仿宋" w:cs="仿宋"/>
          <w:color w:val="000000"/>
          <w:kern w:val="0"/>
          <w:sz w:val="32"/>
          <w:szCs w:val="32"/>
        </w:rPr>
        <w:t>本制度</w:t>
      </w:r>
      <w:r>
        <w:rPr>
          <w:rFonts w:hint="eastAsia" w:ascii="仿宋" w:hAnsi="仿宋" w:eastAsia="仿宋" w:cs="仿宋"/>
          <w:color w:val="000000"/>
          <w:kern w:val="0"/>
          <w:sz w:val="32"/>
          <w:szCs w:val="32"/>
          <w:lang w:val="en-US" w:eastAsia="zh-CN"/>
        </w:rPr>
        <w:t>由理事会审议通过后</w:t>
      </w:r>
      <w:bookmarkStart w:id="1" w:name="_GoBack"/>
      <w:bookmarkEnd w:id="1"/>
      <w:r>
        <w:rPr>
          <w:rFonts w:hint="eastAsia" w:ascii="仿宋" w:hAnsi="仿宋" w:eastAsia="仿宋" w:cs="仿宋"/>
          <w:color w:val="000000"/>
          <w:kern w:val="0"/>
          <w:sz w:val="32"/>
          <w:szCs w:val="32"/>
        </w:rPr>
        <w:t>施行</w:t>
      </w:r>
      <w:r>
        <w:rPr>
          <w:rFonts w:hint="eastAsia" w:ascii="仿宋" w:hAnsi="仿宋" w:eastAsia="仿宋" w:cs="仿宋"/>
          <w:sz w:val="32"/>
          <w:szCs w:val="32"/>
        </w:rPr>
        <w:t>。</w:t>
      </w:r>
    </w:p>
    <w:p w14:paraId="58DF4FC8">
      <w:pPr>
        <w:rPr>
          <w:sz w:val="32"/>
          <w:szCs w:val="32"/>
        </w:rPr>
      </w:pPr>
    </w:p>
    <w:sectPr>
      <w:footerReference r:id="rId5" w:type="default"/>
      <w:pgSz w:w="11906" w:h="16838"/>
      <w:pgMar w:top="2098" w:right="1588" w:bottom="1701"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901A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53D6ED">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E53D6ED">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3ZWIyZjFmZDY3Y2EyNGNmOWMzODY0MjJhZjQzMmIifQ=="/>
  </w:docVars>
  <w:rsids>
    <w:rsidRoot w:val="00846569"/>
    <w:rsid w:val="0026036C"/>
    <w:rsid w:val="00433866"/>
    <w:rsid w:val="004A110E"/>
    <w:rsid w:val="006200F8"/>
    <w:rsid w:val="00846569"/>
    <w:rsid w:val="008E452C"/>
    <w:rsid w:val="009B4CA5"/>
    <w:rsid w:val="009C4C76"/>
    <w:rsid w:val="009D451D"/>
    <w:rsid w:val="00AD161B"/>
    <w:rsid w:val="00B746D5"/>
    <w:rsid w:val="00C029AA"/>
    <w:rsid w:val="00C07CC9"/>
    <w:rsid w:val="00E06009"/>
    <w:rsid w:val="00E1011E"/>
    <w:rsid w:val="00E37C39"/>
    <w:rsid w:val="1CE5029E"/>
    <w:rsid w:val="1E1C60B3"/>
    <w:rsid w:val="31DE11A3"/>
    <w:rsid w:val="32385F56"/>
    <w:rsid w:val="3C674DBA"/>
    <w:rsid w:val="3D653DA3"/>
    <w:rsid w:val="40515E7D"/>
    <w:rsid w:val="4CD00DDD"/>
    <w:rsid w:val="4D5A0470"/>
    <w:rsid w:val="51D33A16"/>
    <w:rsid w:val="7D0D6B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20" w:lineRule="exact"/>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spacing w:line="240" w:lineRule="atLeast"/>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6">
    <w:name w:val="List Paragraph"/>
    <w:basedOn w:val="1"/>
    <w:qFormat/>
    <w:uiPriority w:val="34"/>
    <w:pPr>
      <w:ind w:firstLine="420" w:firstLineChars="200"/>
    </w:p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1331</Words>
  <Characters>1335</Characters>
  <Lines>11</Lines>
  <Paragraphs>3</Paragraphs>
  <TotalTime>14</TotalTime>
  <ScaleCrop>false</ScaleCrop>
  <LinksUpToDate>false</LinksUpToDate>
  <CharactersWithSpaces>1382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2019-02-15T07:24:00Z</dcterms:created>
  <dc:creator>微软用户</dc:creator>
  <cp:lastModifiedBy>语过添情</cp:lastModifiedBy>
  <dcterms:modified xsi:type="dcterms:W3CDTF">2025-07-23T05:48:57Z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5E4406CB10D342C28D22EDF80E730D6D_13</vt:lpwstr>
  </property>
  <property fmtid="{D5CDD505-2E9C-101B-9397-08002B2CF9AE}" pid="4" name="KSOTemplateDocerSaveRecord">
    <vt:lpwstr>eyJoZGlkIjoiZWM1N2VmZDlkN2NkZDU4ZjVmMTYzNGM1N2NlYzI3ZGYiLCJ1c2VySWQiOiIzMjk2MjUyNjcifQ==</vt:lpwstr>
  </property>
</Properties>
</file>