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CB4C48">
      <w:pPr>
        <w:pStyle w:val="8"/>
        <w:keepNext/>
        <w:keepLines/>
        <w:shd w:val="clear" w:color="auto" w:fill="auto"/>
        <w:spacing w:before="100" w:beforeAutospacing="1" w:after="100" w:afterAutospacing="1"/>
        <w:jc w:val="center"/>
        <w:rPr>
          <w:rFonts w:hint="eastAsia" w:ascii="黑体" w:hAnsi="黑体" w:eastAsia="黑体" w:cs="黑体"/>
          <w:b/>
          <w:bCs/>
          <w:sz w:val="44"/>
          <w:szCs w:val="44"/>
        </w:rPr>
      </w:pPr>
      <w:bookmarkStart w:id="0" w:name="bookmark1"/>
      <w:bookmarkStart w:id="1" w:name="bookmark0"/>
      <w:r>
        <w:rPr>
          <w:rFonts w:hint="eastAsia" w:ascii="黑体" w:hAnsi="黑体" w:eastAsia="黑体" w:cs="黑体"/>
          <w:b/>
          <w:bCs/>
          <w:sz w:val="44"/>
          <w:szCs w:val="44"/>
        </w:rPr>
        <w:t>北京</w:t>
      </w:r>
      <w:r>
        <w:rPr>
          <w:rFonts w:hint="eastAsia" w:ascii="黑体" w:hAnsi="黑体" w:eastAsia="黑体" w:cs="黑体"/>
          <w:b/>
          <w:bCs/>
          <w:sz w:val="44"/>
          <w:szCs w:val="44"/>
          <w:lang w:val="en-US" w:eastAsia="zh-CN"/>
        </w:rPr>
        <w:t>济康</w:t>
      </w:r>
      <w:r>
        <w:rPr>
          <w:rFonts w:hint="eastAsia" w:ascii="黑体" w:hAnsi="黑体" w:eastAsia="黑体" w:cs="黑体"/>
          <w:b/>
          <w:bCs/>
          <w:sz w:val="44"/>
          <w:szCs w:val="44"/>
        </w:rPr>
        <w:t>公益基金会</w:t>
      </w:r>
    </w:p>
    <w:p w14:paraId="3714D69A">
      <w:pPr>
        <w:pStyle w:val="8"/>
        <w:keepNext/>
        <w:keepLines/>
        <w:shd w:val="clear" w:color="auto" w:fill="auto"/>
        <w:spacing w:before="100" w:beforeAutospacing="1" w:after="100" w:afterAutospacing="1"/>
        <w:rPr>
          <w:rFonts w:hint="eastAsia" w:ascii="黑体" w:hAnsi="黑体" w:eastAsia="黑体" w:cs="黑体"/>
          <w:b/>
          <w:bCs/>
          <w:sz w:val="44"/>
          <w:szCs w:val="44"/>
        </w:rPr>
      </w:pPr>
      <w:r>
        <w:rPr>
          <w:rFonts w:hint="eastAsia" w:ascii="黑体" w:hAnsi="黑体" w:eastAsia="黑体" w:cs="黑体"/>
          <w:b/>
          <w:bCs/>
          <w:sz w:val="44"/>
          <w:szCs w:val="44"/>
        </w:rPr>
        <w:t>财务管理制度</w:t>
      </w:r>
      <w:bookmarkEnd w:id="0"/>
      <w:bookmarkEnd w:id="1"/>
    </w:p>
    <w:p w14:paraId="6EA5E715">
      <w:pPr>
        <w:pStyle w:val="8"/>
        <w:keepNext/>
        <w:keepLines/>
        <w:shd w:val="clear" w:color="auto" w:fill="auto"/>
        <w:spacing w:before="100" w:beforeAutospacing="1" w:after="100" w:afterAutospacing="1"/>
        <w:jc w:val="both"/>
        <w:rPr>
          <w:rFonts w:hint="eastAsia" w:ascii="黑体" w:hAnsi="黑体" w:eastAsia="黑体" w:cs="黑体"/>
          <w:b/>
          <w:bCs/>
          <w:sz w:val="44"/>
          <w:szCs w:val="44"/>
        </w:rPr>
      </w:pPr>
    </w:p>
    <w:p w14:paraId="54324979">
      <w:pPr>
        <w:pStyle w:val="10"/>
        <w:shd w:val="clear" w:color="auto" w:fill="auto"/>
        <w:spacing w:before="100" w:beforeAutospacing="1" w:after="100" w:afterAutospacing="1" w:line="240" w:lineRule="auto"/>
        <w:ind w:firstLine="0"/>
        <w:jc w:val="center"/>
        <w:rPr>
          <w:rFonts w:hint="eastAsia" w:ascii="仿宋" w:hAnsi="仿宋" w:eastAsia="仿宋" w:cs="仿宋"/>
          <w:b/>
          <w:bCs w:val="0"/>
          <w:sz w:val="32"/>
          <w:szCs w:val="32"/>
        </w:rPr>
      </w:pPr>
      <w:r>
        <w:rPr>
          <w:rFonts w:hint="eastAsia" w:ascii="仿宋" w:hAnsi="仿宋" w:eastAsia="仿宋" w:cs="仿宋"/>
          <w:b/>
          <w:bCs w:val="0"/>
          <w:sz w:val="32"/>
          <w:szCs w:val="32"/>
        </w:rPr>
        <w:t>第一章 总则</w:t>
      </w:r>
    </w:p>
    <w:p w14:paraId="5761019C">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第一条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北京</w:t>
      </w:r>
      <w:r>
        <w:rPr>
          <w:rFonts w:hint="eastAsia" w:ascii="仿宋" w:hAnsi="仿宋" w:eastAsia="仿宋" w:cs="仿宋"/>
          <w:sz w:val="32"/>
          <w:szCs w:val="32"/>
          <w:lang w:val="en-US" w:eastAsia="zh-CN"/>
        </w:rPr>
        <w:t>济康</w:t>
      </w:r>
      <w:r>
        <w:rPr>
          <w:rFonts w:hint="eastAsia" w:ascii="仿宋" w:hAnsi="仿宋" w:eastAsia="仿宋" w:cs="仿宋"/>
          <w:sz w:val="32"/>
          <w:szCs w:val="32"/>
        </w:rPr>
        <w:t>公益基金会（以下简称“基金会</w:t>
      </w:r>
      <w:r>
        <w:rPr>
          <w:rFonts w:hint="eastAsia" w:ascii="仿宋" w:hAnsi="仿宋" w:eastAsia="仿宋" w:cs="仿宋"/>
          <w:sz w:val="32"/>
          <w:szCs w:val="32"/>
          <w:lang w:eastAsia="zh-CN"/>
        </w:rPr>
        <w:t>”）</w:t>
      </w:r>
      <w:r>
        <w:rPr>
          <w:rFonts w:hint="eastAsia" w:ascii="仿宋" w:hAnsi="仿宋" w:eastAsia="仿宋" w:cs="仿宋"/>
          <w:sz w:val="32"/>
          <w:szCs w:val="32"/>
        </w:rPr>
        <w:t>是经北京市民政局批准成立</w:t>
      </w:r>
      <w:r>
        <w:rPr>
          <w:rFonts w:hint="eastAsia" w:ascii="仿宋" w:hAnsi="仿宋" w:eastAsia="仿宋" w:cs="仿宋"/>
          <w:sz w:val="32"/>
          <w:szCs w:val="32"/>
          <w:lang w:val="en-US" w:eastAsia="zh-CN"/>
        </w:rPr>
        <w:t>的</w:t>
      </w:r>
      <w:r>
        <w:rPr>
          <w:rFonts w:hint="eastAsia" w:ascii="仿宋" w:hAnsi="仿宋" w:eastAsia="仿宋" w:cs="仿宋"/>
          <w:sz w:val="32"/>
          <w:szCs w:val="32"/>
        </w:rPr>
        <w:t>非公募基金会，进行独立会计核算，严格执行《公益事业捐赠法</w:t>
      </w:r>
      <w:r>
        <w:rPr>
          <w:rFonts w:hint="eastAsia" w:ascii="仿宋" w:hAnsi="仿宋" w:eastAsia="仿宋" w:cs="仿宋"/>
          <w:sz w:val="32"/>
          <w:szCs w:val="32"/>
          <w:lang w:eastAsia="zh-CN"/>
        </w:rPr>
        <w:t>》《</w:t>
      </w:r>
      <w:r>
        <w:rPr>
          <w:rFonts w:hint="eastAsia" w:ascii="仿宋" w:hAnsi="仿宋" w:eastAsia="仿宋" w:cs="仿宋"/>
          <w:sz w:val="32"/>
          <w:szCs w:val="32"/>
        </w:rPr>
        <w:t>中华人民共和国慈善法》、国务院令（2004）第400号《基金会管理条例》、财政部财会（2004）</w:t>
      </w:r>
      <w:r>
        <w:rPr>
          <w:rFonts w:hint="eastAsia" w:ascii="仿宋" w:hAnsi="仿宋" w:eastAsia="仿宋" w:cs="仿宋"/>
          <w:sz w:val="32"/>
          <w:szCs w:val="32"/>
          <w:lang w:val="en-US" w:eastAsia="zh-CN"/>
        </w:rPr>
        <w:t>7</w:t>
      </w:r>
      <w:r>
        <w:rPr>
          <w:rFonts w:hint="eastAsia" w:ascii="仿宋" w:hAnsi="仿宋" w:eastAsia="仿宋" w:cs="仿宋"/>
          <w:sz w:val="32"/>
          <w:szCs w:val="32"/>
        </w:rPr>
        <w:t>号《民间非营利组织会计制度》、民政部《关于规范基金会行为的若干规定（试行）》等国家有关法律法规。</w:t>
      </w:r>
    </w:p>
    <w:p w14:paraId="79C8F991">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第二条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为了进一步加强基金会的财务管理，规范各项财务行为，充分发挥各项资金的使用效益，健全财务管理，根据有关法律法规及《</w:t>
      </w:r>
      <w:r>
        <w:rPr>
          <w:rFonts w:hint="eastAsia" w:ascii="仿宋" w:hAnsi="仿宋" w:eastAsia="仿宋" w:cs="仿宋"/>
          <w:sz w:val="32"/>
          <w:szCs w:val="32"/>
          <w:lang w:eastAsia="zh-CN"/>
        </w:rPr>
        <w:t>北京</w:t>
      </w:r>
      <w:r>
        <w:rPr>
          <w:rFonts w:hint="eastAsia" w:ascii="仿宋" w:hAnsi="仿宋" w:eastAsia="仿宋" w:cs="仿宋"/>
          <w:sz w:val="32"/>
          <w:szCs w:val="32"/>
          <w:lang w:val="en-US" w:eastAsia="zh-CN"/>
        </w:rPr>
        <w:t>济康</w:t>
      </w:r>
      <w:r>
        <w:rPr>
          <w:rFonts w:hint="eastAsia" w:ascii="仿宋" w:hAnsi="仿宋" w:eastAsia="仿宋" w:cs="仿宋"/>
          <w:sz w:val="32"/>
          <w:szCs w:val="32"/>
        </w:rPr>
        <w:t>公益基金会章程》结合基金会的实际情况，特制定本制度。</w:t>
      </w:r>
    </w:p>
    <w:p w14:paraId="68657D74">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第三条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基金会财务管理的基本原则：贯彻执行国家有关法律法规和财务制度，严格、合理使用各项资金，在合法、安全、有效的前提下支持公益事业发展和基金会工作的顺利开展。</w:t>
      </w:r>
    </w:p>
    <w:p w14:paraId="7A3B6B32">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第四条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基金会财务管理的目标：建立健全财务制度，规范财务行为；加强预算管理，提高资金使用效益；加强资产管理，防止资产流失；加强财务分析和财务监督，如实反映财务状况。</w:t>
      </w:r>
    </w:p>
    <w:p w14:paraId="43E012A4">
      <w:pPr>
        <w:pStyle w:val="10"/>
        <w:shd w:val="clear" w:color="auto" w:fill="auto"/>
        <w:spacing w:before="100" w:beforeAutospacing="1" w:after="100" w:afterAutospacing="1" w:line="240" w:lineRule="auto"/>
        <w:ind w:firstLine="0"/>
        <w:jc w:val="center"/>
        <w:rPr>
          <w:rFonts w:hint="eastAsia" w:ascii="仿宋" w:hAnsi="仿宋" w:eastAsia="仿宋" w:cs="仿宋"/>
          <w:b/>
          <w:bCs w:val="0"/>
          <w:sz w:val="32"/>
          <w:szCs w:val="32"/>
        </w:rPr>
      </w:pPr>
      <w:r>
        <w:rPr>
          <w:rFonts w:hint="eastAsia" w:ascii="仿宋" w:hAnsi="仿宋" w:eastAsia="仿宋" w:cs="仿宋"/>
          <w:b/>
          <w:bCs w:val="0"/>
          <w:sz w:val="32"/>
          <w:szCs w:val="32"/>
        </w:rPr>
        <w:t>第二章 财务管理机制</w:t>
      </w:r>
    </w:p>
    <w:p w14:paraId="788EBBC7">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第五条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基金会设理事会，为基金会的最高决策机构</w:t>
      </w:r>
      <w:r>
        <w:rPr>
          <w:rFonts w:hint="eastAsia" w:ascii="仿宋" w:hAnsi="仿宋" w:eastAsia="仿宋" w:cs="仿宋"/>
          <w:sz w:val="32"/>
          <w:szCs w:val="32"/>
          <w:lang w:eastAsia="zh-CN"/>
        </w:rPr>
        <w:t>，</w:t>
      </w:r>
      <w:r>
        <w:rPr>
          <w:rFonts w:hint="eastAsia" w:ascii="仿宋" w:hAnsi="仿宋" w:eastAsia="仿宋" w:cs="仿宋"/>
          <w:sz w:val="32"/>
          <w:szCs w:val="32"/>
        </w:rPr>
        <w:t>理事会决定财务工作中的重大事项。</w:t>
      </w:r>
    </w:p>
    <w:p w14:paraId="01919021">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第六条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在基金会理事会领导下，秘书长全面负责财务工作，并对本单位财务管理制度的建立健全及有效实施负责。</w:t>
      </w:r>
    </w:p>
    <w:p w14:paraId="71A75B2A">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第七条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接受捐赠款项的各单位，对捐赠经费使用</w:t>
      </w:r>
      <w:r>
        <w:rPr>
          <w:rFonts w:hint="eastAsia" w:ascii="仿宋" w:hAnsi="仿宋" w:eastAsia="仿宋" w:cs="仿宋"/>
          <w:sz w:val="32"/>
          <w:szCs w:val="32"/>
          <w:lang w:val="en-US" w:eastAsia="zh-CN"/>
        </w:rPr>
        <w:t>的</w:t>
      </w:r>
      <w:r>
        <w:rPr>
          <w:rFonts w:hint="eastAsia" w:ascii="仿宋" w:hAnsi="仿宋" w:eastAsia="仿宋" w:cs="仿宋"/>
          <w:sz w:val="32"/>
          <w:szCs w:val="32"/>
        </w:rPr>
        <w:t>监督。</w:t>
      </w:r>
    </w:p>
    <w:p w14:paraId="243BAC7E">
      <w:pPr>
        <w:spacing w:line="540" w:lineRule="exact"/>
        <w:ind w:firstLine="643" w:firstLineChars="200"/>
        <w:rPr>
          <w:rFonts w:hint="eastAsia" w:ascii="仿宋" w:hAnsi="仿宋" w:eastAsia="仿宋" w:cs="仿宋"/>
          <w:b/>
          <w:bCs/>
          <w:sz w:val="32"/>
          <w:szCs w:val="32"/>
        </w:rPr>
      </w:pPr>
      <w:r>
        <w:rPr>
          <w:rFonts w:hint="eastAsia" w:ascii="仿宋" w:hAnsi="仿宋" w:eastAsia="仿宋" w:cs="仿宋"/>
          <w:b/>
          <w:bCs/>
          <w:sz w:val="32"/>
          <w:szCs w:val="32"/>
        </w:rPr>
        <w:t>第八条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基金会配备具有专业资格的财务人员，做好财务工作。</w:t>
      </w:r>
    </w:p>
    <w:p w14:paraId="6D5A4CF7">
      <w:pPr>
        <w:pStyle w:val="10"/>
        <w:shd w:val="clear" w:color="auto" w:fill="auto"/>
        <w:spacing w:before="100" w:beforeAutospacing="1" w:after="100" w:afterAutospacing="1" w:line="240" w:lineRule="auto"/>
        <w:ind w:firstLine="0"/>
        <w:jc w:val="center"/>
        <w:rPr>
          <w:rFonts w:hint="eastAsia" w:ascii="仿宋" w:hAnsi="仿宋" w:eastAsia="仿宋" w:cs="仿宋"/>
          <w:b/>
          <w:bCs w:val="0"/>
          <w:sz w:val="32"/>
          <w:szCs w:val="32"/>
        </w:rPr>
      </w:pPr>
      <w:r>
        <w:rPr>
          <w:rFonts w:hint="eastAsia" w:ascii="仿宋" w:hAnsi="仿宋" w:eastAsia="仿宋" w:cs="仿宋"/>
          <w:b/>
          <w:bCs w:val="0"/>
          <w:sz w:val="32"/>
          <w:szCs w:val="32"/>
        </w:rPr>
        <w:t>第三章 会计核算</w:t>
      </w:r>
    </w:p>
    <w:p w14:paraId="0AF7FACE">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lang w:val="en-US" w:eastAsia="zh-CN"/>
        </w:rPr>
        <w:t xml:space="preserve">第九条  </w:t>
      </w:r>
      <w:r>
        <w:rPr>
          <w:rFonts w:hint="eastAsia" w:ascii="仿宋" w:hAnsi="仿宋" w:eastAsia="仿宋" w:cs="仿宋"/>
          <w:sz w:val="32"/>
          <w:szCs w:val="32"/>
        </w:rPr>
        <w:t>执行《民间非营利组织会计制度》</w:t>
      </w:r>
    </w:p>
    <w:p w14:paraId="67A2EB16">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lang w:val="en-US" w:eastAsia="zh-CN"/>
        </w:rPr>
        <w:t xml:space="preserve">第十条  </w:t>
      </w:r>
      <w:r>
        <w:rPr>
          <w:rFonts w:hint="eastAsia" w:ascii="仿宋" w:hAnsi="仿宋" w:eastAsia="仿宋" w:cs="仿宋"/>
          <w:sz w:val="32"/>
          <w:szCs w:val="32"/>
        </w:rPr>
        <w:t>会计年度为每年1月1日至12月31日，以权责发生制为核算基础，采用借贷记账法，以人民币为记账本位币。核算外币业务时，应当设置相应的外币账户。各种外币账户的外币余额，期末时应当按照期末汇率折合为记账本位币，按照期末汇率折合的记账本位币金额与账面记账本位币金额之间的差额</w:t>
      </w:r>
      <w:r>
        <w:rPr>
          <w:rFonts w:hint="eastAsia" w:ascii="仿宋" w:hAnsi="仿宋" w:eastAsia="仿宋" w:cs="仿宋"/>
          <w:sz w:val="32"/>
          <w:szCs w:val="32"/>
          <w:lang w:eastAsia="zh-CN"/>
        </w:rPr>
        <w:t>，</w:t>
      </w:r>
      <w:r>
        <w:rPr>
          <w:rFonts w:hint="eastAsia" w:ascii="仿宋" w:hAnsi="仿宋" w:eastAsia="仿宋" w:cs="仿宋"/>
          <w:sz w:val="32"/>
          <w:szCs w:val="32"/>
        </w:rPr>
        <w:t>作为汇兑损益计入当期费用。</w:t>
      </w:r>
    </w:p>
    <w:p w14:paraId="73F50E8D">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lang w:val="en-US" w:eastAsia="zh-CN"/>
        </w:rPr>
        <w:t xml:space="preserve">第十一条  </w:t>
      </w:r>
      <w:r>
        <w:rPr>
          <w:rFonts w:hint="eastAsia" w:ascii="仿宋" w:hAnsi="仿宋" w:eastAsia="仿宋" w:cs="仿宋"/>
          <w:sz w:val="32"/>
          <w:szCs w:val="32"/>
        </w:rPr>
        <w:t>会计核算的原则：</w:t>
      </w:r>
    </w:p>
    <w:p w14:paraId="656F5D55">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1、会计核算以实际发生的交易或事项为依据，如实反映基金会的财务状况、业务活动情况和现金流量信息。</w:t>
      </w:r>
    </w:p>
    <w:p w14:paraId="18867AC0">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2、会计核算所提供的信息能够满足各类会计信息使用者的需要。</w:t>
      </w:r>
    </w:p>
    <w:p w14:paraId="2400C18E">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3、会计核算应当按照交易或者事项的实质进行。</w:t>
      </w:r>
    </w:p>
    <w:p w14:paraId="7B4A17B0">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4、会计政策前后各期应当保持一致，不得随意变更。如有必要变更，应当在会计报表附注中披露变更的内容和理由、变更的累积影响数，以及累积影响数不能合理确定的理由等。</w:t>
      </w:r>
    </w:p>
    <w:p w14:paraId="140C0E10">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5、会计核算应当按照规定的会计处理方法进行，会计信息应当口径一致、相互可比。</w:t>
      </w:r>
    </w:p>
    <w:p w14:paraId="4EFAF56C">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6、会计核算应当及时进行，不得提前或延后。</w:t>
      </w:r>
    </w:p>
    <w:p w14:paraId="23F6EB0E">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7、会计核算和编制的财务会计报告应当清晰明了，便于理解和使用。</w:t>
      </w:r>
    </w:p>
    <w:p w14:paraId="414F283A">
      <w:pPr>
        <w:spacing w:line="54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8、所发生的费用与其相关的收入应当相配比</w:t>
      </w:r>
      <w:r>
        <w:rPr>
          <w:rFonts w:hint="eastAsia" w:ascii="仿宋" w:hAnsi="仿宋" w:eastAsia="仿宋" w:cs="仿宋"/>
          <w:sz w:val="32"/>
          <w:szCs w:val="32"/>
          <w:lang w:eastAsia="zh-CN"/>
        </w:rPr>
        <w:t>。</w:t>
      </w:r>
    </w:p>
    <w:p w14:paraId="6A0D68D3">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9、资产取得时应当按照实际成本计量，民间非营利组织有特别规定的，按照特别规定的计量基础进行计量。资产账面价值的调整，应当按照民间非营利组织会计制度的规定执行；除法律法规和国家统一的会计制度另有规定外，基金会一律不得自行调整资产账面价值。</w:t>
      </w:r>
    </w:p>
    <w:p w14:paraId="2E62D090">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10、会计核算应当遵循谨慎性原则。</w:t>
      </w:r>
    </w:p>
    <w:p w14:paraId="5AF5D855">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11</w:t>
      </w:r>
      <w:r>
        <w:rPr>
          <w:rFonts w:hint="eastAsia" w:ascii="仿宋" w:hAnsi="仿宋" w:eastAsia="仿宋" w:cs="仿宋"/>
          <w:sz w:val="32"/>
          <w:szCs w:val="32"/>
        </w:rPr>
        <w:t>、会计核算应当遵循重要性原则。</w:t>
      </w:r>
    </w:p>
    <w:p w14:paraId="0464DE3C">
      <w:pPr>
        <w:pStyle w:val="10"/>
        <w:shd w:val="clear" w:color="auto" w:fill="auto"/>
        <w:spacing w:before="100" w:beforeAutospacing="1" w:after="100" w:afterAutospacing="1" w:line="240" w:lineRule="auto"/>
        <w:ind w:firstLine="0"/>
        <w:jc w:val="center"/>
        <w:rPr>
          <w:rFonts w:hint="eastAsia" w:ascii="仿宋" w:hAnsi="仿宋" w:eastAsia="仿宋" w:cs="仿宋"/>
          <w:b/>
          <w:bCs w:val="0"/>
          <w:sz w:val="32"/>
          <w:szCs w:val="32"/>
        </w:rPr>
      </w:pPr>
      <w:r>
        <w:rPr>
          <w:rFonts w:hint="eastAsia" w:ascii="仿宋" w:hAnsi="仿宋" w:eastAsia="仿宋" w:cs="仿宋"/>
          <w:b/>
          <w:bCs w:val="0"/>
          <w:sz w:val="32"/>
          <w:szCs w:val="32"/>
        </w:rPr>
        <w:t>第四章 资产管理</w:t>
      </w:r>
    </w:p>
    <w:p w14:paraId="60DC1FC0">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第十二条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资产是指过去的交易或者事项形成并由基金会拥有或者控制的资源，该资源预期会给基金会带来经济利益或者服务潜力。</w:t>
      </w:r>
    </w:p>
    <w:p w14:paraId="0DA01392">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第十三条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资产分为流动资产、长期投资、固定资产、无形资产和受托代理资产等。</w:t>
      </w:r>
    </w:p>
    <w:p w14:paraId="2BB765FC">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第十四条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基金会应当加强资产管理，配备资产管理人员，建立定期盘点制度，对非现金资产应该进行登记和管理，做到账实相符、账表相符。</w:t>
      </w:r>
    </w:p>
    <w:p w14:paraId="1E10EF1D">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第十五条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现金管理</w:t>
      </w:r>
      <w:r>
        <w:rPr>
          <w:rFonts w:hint="eastAsia" w:ascii="仿宋" w:hAnsi="仿宋" w:eastAsia="仿宋" w:cs="仿宋"/>
          <w:sz w:val="32"/>
          <w:szCs w:val="32"/>
          <w:lang w:eastAsia="zh-CN"/>
        </w:rPr>
        <w:t>及职责</w:t>
      </w:r>
    </w:p>
    <w:p w14:paraId="26A07CD8">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1、基金会严格按照《现金管理暂行条例》和《现金管理暂行条例实施细则》的规定，加强现金管理。应当通过银行转账方式进行的结算，不得以现金方式结算。</w:t>
      </w:r>
    </w:p>
    <w:p w14:paraId="698D9A8F">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现金要做到日清月结。每日业务结束后，出纳应将库存现金与现金日记账余额进行核对是否相符。会计人员应不定期对现金进行盘点，确保现金账面余额与实际库存相符。如发现现金账面余额与实际库存不符，须及时查明原因。</w:t>
      </w:r>
    </w:p>
    <w:p w14:paraId="7335E916">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3、办理大额现金支取业务的经办人应至少提前一天向出纳人员预约。</w:t>
      </w:r>
    </w:p>
    <w:p w14:paraId="73CD8DBD">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第十六条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银行存款管理</w:t>
      </w:r>
    </w:p>
    <w:p w14:paraId="5E34729A">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1、严格按规定开立基本银行存款账户（具有开户许可证）和一般银行存款账户。</w:t>
      </w:r>
    </w:p>
    <w:p w14:paraId="79DDC2E7">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2、按规定用途使用基金会银行账户，不得出租、转让银行账户，不得为个人或其他单位提供抵押、担保等任何银行信用。</w:t>
      </w:r>
    </w:p>
    <w:p w14:paraId="18CE8162">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3、不准签发空头支票或远期支票，不准签发、取得和转让没有真实交易的票据。</w:t>
      </w:r>
    </w:p>
    <w:p w14:paraId="55B27F56">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4、银行预留印鉴章和空白支票及支票密码须分开保管。对已作废的支票，出纳人员应进行专门登记，并妥善保管，及时核销</w:t>
      </w:r>
    </w:p>
    <w:p w14:paraId="1707A175">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5</w:t>
      </w:r>
      <w:r>
        <w:rPr>
          <w:rFonts w:hint="eastAsia" w:ascii="仿宋" w:hAnsi="仿宋" w:eastAsia="仿宋" w:cs="仿宋"/>
          <w:sz w:val="32"/>
          <w:szCs w:val="32"/>
        </w:rPr>
        <w:t>、出纳人员对收到的所有银行回单应进行确认，并及时交与审核人员入账。</w:t>
      </w:r>
    </w:p>
    <w:p w14:paraId="2A959F41">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6</w:t>
      </w:r>
      <w:r>
        <w:rPr>
          <w:rFonts w:hint="eastAsia" w:ascii="仿宋" w:hAnsi="仿宋" w:eastAsia="仿宋" w:cs="仿宋"/>
          <w:sz w:val="32"/>
          <w:szCs w:val="32"/>
        </w:rPr>
        <w:t>、每月应当及时进行银行对账，发现错误，应及时查明原因，并编制《银行存款余额调节表》保证</w:t>
      </w:r>
      <w:r>
        <w:rPr>
          <w:rFonts w:hint="eastAsia" w:ascii="仿宋" w:hAnsi="仿宋" w:eastAsia="仿宋" w:cs="仿宋"/>
          <w:sz w:val="32"/>
          <w:szCs w:val="32"/>
          <w:lang w:eastAsia="zh-CN"/>
        </w:rPr>
        <w:t>账</w:t>
      </w:r>
      <w:r>
        <w:rPr>
          <w:rFonts w:hint="eastAsia" w:ascii="仿宋" w:hAnsi="仿宋" w:eastAsia="仿宋" w:cs="仿宋"/>
          <w:sz w:val="32"/>
          <w:szCs w:val="32"/>
        </w:rPr>
        <w:t>相符。</w:t>
      </w:r>
    </w:p>
    <w:p w14:paraId="1579F5A2">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第十七条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固定资产管理</w:t>
      </w:r>
    </w:p>
    <w:p w14:paraId="0278F583">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1、</w:t>
      </w:r>
      <w:r>
        <w:rPr>
          <w:rFonts w:hint="eastAsia" w:ascii="仿宋" w:hAnsi="仿宋" w:eastAsia="仿宋" w:cs="仿宋"/>
          <w:sz w:val="32"/>
          <w:szCs w:val="32"/>
        </w:rPr>
        <w:t>固定资产是指使用期限超过一年，单位价值在</w:t>
      </w:r>
      <w:r>
        <w:rPr>
          <w:rFonts w:hint="eastAsia" w:ascii="仿宋" w:hAnsi="仿宋" w:eastAsia="仿宋" w:cs="仿宋"/>
          <w:sz w:val="32"/>
          <w:szCs w:val="32"/>
          <w:lang w:eastAsia="zh-CN"/>
        </w:rPr>
        <w:t>2000</w:t>
      </w:r>
      <w:r>
        <w:rPr>
          <w:rFonts w:hint="eastAsia" w:ascii="仿宋" w:hAnsi="仿宋" w:eastAsia="仿宋" w:cs="仿宋"/>
          <w:sz w:val="32"/>
          <w:szCs w:val="32"/>
        </w:rPr>
        <w:t>元以上，并在使用过程中基本保持原有物质形态的资产。</w:t>
      </w:r>
    </w:p>
    <w:p w14:paraId="11325CF2">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2、</w:t>
      </w:r>
      <w:r>
        <w:rPr>
          <w:rFonts w:hint="eastAsia" w:ascii="仿宋" w:hAnsi="仿宋" w:eastAsia="仿宋" w:cs="仿宋"/>
          <w:sz w:val="32"/>
          <w:szCs w:val="32"/>
          <w:lang w:val="en-US" w:eastAsia="zh-CN"/>
        </w:rPr>
        <w:t>各部门</w:t>
      </w:r>
      <w:r>
        <w:rPr>
          <w:rFonts w:hint="eastAsia" w:ascii="仿宋" w:hAnsi="仿宋" w:eastAsia="仿宋" w:cs="仿宋"/>
          <w:sz w:val="32"/>
          <w:szCs w:val="32"/>
        </w:rPr>
        <w:t>应当定期对固定资产进行盘点，增减变动要及时进行账务处理，保证</w:t>
      </w:r>
      <w:r>
        <w:rPr>
          <w:rFonts w:hint="eastAsia" w:ascii="仿宋" w:hAnsi="仿宋" w:eastAsia="仿宋" w:cs="仿宋"/>
          <w:sz w:val="32"/>
          <w:szCs w:val="32"/>
          <w:lang w:eastAsia="zh-CN"/>
        </w:rPr>
        <w:t>账</w:t>
      </w:r>
      <w:r>
        <w:rPr>
          <w:rFonts w:hint="eastAsia" w:ascii="仿宋" w:hAnsi="仿宋" w:eastAsia="仿宋" w:cs="仿宋"/>
          <w:sz w:val="32"/>
          <w:szCs w:val="32"/>
        </w:rPr>
        <w:t>相符、账实</w:t>
      </w:r>
      <w:r>
        <w:rPr>
          <w:rFonts w:hint="eastAsia" w:ascii="仿宋" w:hAnsi="仿宋" w:eastAsia="仿宋" w:cs="仿宋"/>
          <w:sz w:val="32"/>
          <w:szCs w:val="32"/>
          <w:lang w:eastAsia="zh-CN"/>
        </w:rPr>
        <w:t>相符。</w:t>
      </w:r>
    </w:p>
    <w:p w14:paraId="7EEDB7DD">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第十八条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对外投资的管理</w:t>
      </w:r>
    </w:p>
    <w:p w14:paraId="54589981">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1、对外投资是指基金会利用货币资金、实物、无形资产等向外单位的投资。</w:t>
      </w:r>
    </w:p>
    <w:p w14:paraId="6A328121">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2、基金会进行投资时应当遵守合法、安全、有效的原则，符合基金会的宗旨，维护基金会的信誉，遵守与捐赠人和受助人的约定，保证公益支出的实现。</w:t>
      </w:r>
    </w:p>
    <w:p w14:paraId="711AE7A1">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3、基金会可用于保值增值的资产限于非限定性资产、在保值增值期间暂不需要拨付的限定性资产。</w:t>
      </w:r>
    </w:p>
    <w:p w14:paraId="65A65FFC">
      <w:pPr>
        <w:spacing w:line="540" w:lineRule="exact"/>
        <w:ind w:firstLine="640" w:firstLineChars="200"/>
        <w:rPr>
          <w:rFonts w:hint="default" w:ascii="仿宋" w:hAnsi="仿宋" w:eastAsia="仿宋" w:cs="仿宋"/>
          <w:color w:val="0070C0"/>
          <w:sz w:val="32"/>
          <w:szCs w:val="32"/>
          <w:lang w:val="en-US" w:eastAsia="zh-CN"/>
        </w:rPr>
      </w:pPr>
      <w:r>
        <w:rPr>
          <w:rFonts w:hint="eastAsia" w:ascii="仿宋" w:hAnsi="仿宋" w:eastAsia="仿宋" w:cs="仿宋"/>
          <w:sz w:val="32"/>
          <w:szCs w:val="32"/>
          <w:lang w:eastAsia="zh-CN"/>
        </w:rPr>
        <w:t>4</w:t>
      </w:r>
      <w:r>
        <w:rPr>
          <w:rFonts w:hint="eastAsia" w:ascii="仿宋" w:hAnsi="仿宋" w:eastAsia="仿宋" w:cs="仿宋"/>
          <w:sz w:val="32"/>
          <w:szCs w:val="32"/>
        </w:rPr>
        <w:t>、</w:t>
      </w:r>
      <w:r>
        <w:rPr>
          <w:rFonts w:hint="eastAsia" w:ascii="仿宋" w:hAnsi="仿宋" w:eastAsia="仿宋" w:cs="仿宋"/>
          <w:sz w:val="32"/>
          <w:szCs w:val="32"/>
        </w:rPr>
        <w:tab/>
      </w:r>
      <w:r>
        <w:rPr>
          <w:rFonts w:hint="eastAsia" w:ascii="仿宋" w:hAnsi="仿宋" w:eastAsia="仿宋" w:cs="仿宋"/>
          <w:sz w:val="32"/>
          <w:szCs w:val="32"/>
        </w:rPr>
        <w:t>基金会投资收益须全部足额纳入银行账户进行统一管理，并确保用于符合</w:t>
      </w:r>
      <w:r>
        <w:rPr>
          <w:rFonts w:hint="eastAsia" w:ascii="仿宋" w:hAnsi="仿宋" w:eastAsia="仿宋" w:cs="仿宋"/>
          <w:sz w:val="32"/>
          <w:szCs w:val="32"/>
          <w:lang w:val="en-US" w:eastAsia="zh-CN"/>
        </w:rPr>
        <w:t>本基金会</w:t>
      </w:r>
      <w:r>
        <w:rPr>
          <w:rFonts w:hint="eastAsia" w:ascii="仿宋" w:hAnsi="仿宋" w:eastAsia="仿宋" w:cs="仿宋"/>
          <w:sz w:val="32"/>
          <w:szCs w:val="32"/>
          <w:highlight w:val="none"/>
          <w:lang w:val="en-US" w:eastAsia="zh-CN"/>
        </w:rPr>
        <w:t>业务范围和</w:t>
      </w:r>
      <w:r>
        <w:rPr>
          <w:rFonts w:hint="eastAsia" w:ascii="仿宋" w:hAnsi="仿宋" w:eastAsia="仿宋" w:cs="仿宋"/>
          <w:sz w:val="32"/>
          <w:szCs w:val="32"/>
          <w:lang w:val="en-US" w:eastAsia="zh-CN"/>
        </w:rPr>
        <w:t>宗旨的方向</w:t>
      </w:r>
      <w:r>
        <w:rPr>
          <w:rFonts w:hint="eastAsia" w:ascii="仿宋" w:hAnsi="仿宋" w:eastAsia="仿宋" w:cs="仿宋"/>
          <w:sz w:val="32"/>
          <w:szCs w:val="32"/>
        </w:rPr>
        <w:t>。</w:t>
      </w:r>
    </w:p>
    <w:p w14:paraId="6F5A8CAA">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5</w:t>
      </w:r>
      <w:r>
        <w:rPr>
          <w:rFonts w:hint="eastAsia" w:ascii="仿宋" w:hAnsi="仿宋" w:eastAsia="仿宋" w:cs="仿宋"/>
          <w:sz w:val="32"/>
          <w:szCs w:val="32"/>
        </w:rPr>
        <w:t>、应</w:t>
      </w:r>
      <w:r>
        <w:rPr>
          <w:rFonts w:hint="eastAsia" w:ascii="仿宋" w:hAnsi="仿宋" w:eastAsia="仿宋" w:cs="仿宋"/>
          <w:sz w:val="32"/>
          <w:szCs w:val="32"/>
          <w:lang w:val="en-US" w:eastAsia="zh-CN"/>
        </w:rPr>
        <w:t>严格遵守《保值增值投资理财管理制度》</w:t>
      </w:r>
      <w:r>
        <w:rPr>
          <w:rFonts w:hint="eastAsia" w:ascii="仿宋" w:hAnsi="仿宋" w:eastAsia="仿宋" w:cs="仿宋"/>
          <w:sz w:val="32"/>
          <w:szCs w:val="32"/>
        </w:rPr>
        <w:t>，以实现投资的保值和增值。</w:t>
      </w:r>
    </w:p>
    <w:p w14:paraId="298A894F">
      <w:pPr>
        <w:spacing w:line="540" w:lineRule="exact"/>
        <w:ind w:firstLine="640" w:firstLineChars="200"/>
        <w:rPr>
          <w:rFonts w:hint="eastAsia" w:ascii="仿宋" w:hAnsi="仿宋" w:eastAsia="仿宋" w:cs="仿宋"/>
          <w:b/>
          <w:bCs/>
          <w:sz w:val="32"/>
          <w:szCs w:val="32"/>
        </w:rPr>
      </w:pPr>
      <w:r>
        <w:rPr>
          <w:rFonts w:hint="eastAsia" w:ascii="仿宋" w:hAnsi="仿宋" w:eastAsia="仿宋" w:cs="仿宋"/>
          <w:sz w:val="32"/>
          <w:szCs w:val="32"/>
          <w:lang w:eastAsia="zh-CN"/>
        </w:rPr>
        <w:t>6</w:t>
      </w:r>
      <w:r>
        <w:rPr>
          <w:rFonts w:hint="eastAsia" w:ascii="仿宋" w:hAnsi="仿宋" w:eastAsia="仿宋" w:cs="仿宋"/>
          <w:sz w:val="32"/>
          <w:szCs w:val="32"/>
        </w:rPr>
        <w:t>、期末，按照民间非营利组织会</w:t>
      </w:r>
      <w:r>
        <w:rPr>
          <w:rFonts w:hint="eastAsia" w:ascii="仿宋" w:hAnsi="仿宋" w:eastAsia="仿宋" w:cs="仿宋"/>
          <w:sz w:val="32"/>
          <w:szCs w:val="32"/>
          <w:lang w:val="en-US" w:eastAsia="zh-CN"/>
        </w:rPr>
        <w:tab/>
      </w:r>
      <w:r>
        <w:rPr>
          <w:rFonts w:hint="eastAsia" w:ascii="仿宋" w:hAnsi="仿宋" w:eastAsia="仿宋" w:cs="仿宋"/>
          <w:sz w:val="32"/>
          <w:szCs w:val="32"/>
        </w:rPr>
        <w:t>计制度的规定，对短期投资、长期投资等资产是否发生了减值进行检查，如果发生了减值，应当计提减值准备，确认减值损失，并计入当期费用；如果这些资产的市价高于其账面价值，应当在该投资期初已计提跌价准备的范围内转回市价高于账面价值的差额，冲减当期费用。</w:t>
      </w:r>
    </w:p>
    <w:p w14:paraId="3148A523">
      <w:pPr>
        <w:pStyle w:val="10"/>
        <w:shd w:val="clear" w:color="auto" w:fill="auto"/>
        <w:spacing w:before="100" w:beforeAutospacing="1" w:after="100" w:afterAutospacing="1" w:line="240" w:lineRule="auto"/>
        <w:ind w:firstLine="0"/>
        <w:jc w:val="center"/>
        <w:rPr>
          <w:rFonts w:hint="eastAsia" w:ascii="仿宋" w:hAnsi="仿宋" w:eastAsia="仿宋" w:cs="仿宋"/>
          <w:b/>
          <w:bCs w:val="0"/>
          <w:sz w:val="32"/>
          <w:szCs w:val="32"/>
        </w:rPr>
      </w:pPr>
      <w:r>
        <w:rPr>
          <w:rFonts w:hint="eastAsia" w:ascii="仿宋" w:hAnsi="仿宋" w:eastAsia="仿宋" w:cs="仿宋"/>
          <w:b/>
          <w:bCs w:val="0"/>
          <w:sz w:val="32"/>
          <w:szCs w:val="32"/>
        </w:rPr>
        <w:t>第五章 负债管理</w:t>
      </w:r>
    </w:p>
    <w:p w14:paraId="47347545">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第十九条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负债是指过去的交易或者事项形成的现时义务，履行该义务预期会导致含有经济利益或者服务潜力的资源流出基金会。基金会负债主要包括短期借款、长期借款、应付款、预收账款等。</w:t>
      </w:r>
    </w:p>
    <w:p w14:paraId="4815ED64">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第二十条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基金会应加强对应付款项和预收账款的清理，及时清查其经费来源与具体用途，按时结清，不得长期挂账。</w:t>
      </w:r>
    </w:p>
    <w:p w14:paraId="58FB30E4">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第二十一条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基金会作为独立法人单位</w:t>
      </w:r>
      <w:r>
        <w:rPr>
          <w:rFonts w:hint="eastAsia" w:ascii="仿宋" w:hAnsi="仿宋" w:eastAsia="仿宋" w:cs="仿宋"/>
          <w:sz w:val="32"/>
          <w:szCs w:val="32"/>
          <w:lang w:eastAsia="zh-CN"/>
        </w:rPr>
        <w:t>，</w:t>
      </w:r>
      <w:r>
        <w:rPr>
          <w:rFonts w:hint="eastAsia" w:ascii="仿宋" w:hAnsi="仿宋" w:eastAsia="仿宋" w:cs="仿宋"/>
          <w:sz w:val="32"/>
          <w:szCs w:val="32"/>
        </w:rPr>
        <w:t>在事业发展中若需要向银行或其他金融机构贷款，贷款项目和额度应经过严格、科学的可行性论证，并经过基金会理事会批准决定，贷款额度不得超过还款能力。</w:t>
      </w:r>
    </w:p>
    <w:p w14:paraId="0A457E8A">
      <w:pPr>
        <w:pStyle w:val="10"/>
        <w:shd w:val="clear" w:color="auto" w:fill="auto"/>
        <w:spacing w:before="100" w:beforeAutospacing="1" w:after="100" w:afterAutospacing="1" w:line="240" w:lineRule="auto"/>
        <w:ind w:firstLine="0"/>
        <w:jc w:val="center"/>
        <w:rPr>
          <w:rFonts w:hint="eastAsia" w:ascii="仿宋" w:hAnsi="仿宋" w:eastAsia="仿宋" w:cs="仿宋"/>
          <w:b/>
          <w:bCs w:val="0"/>
          <w:sz w:val="32"/>
          <w:szCs w:val="32"/>
        </w:rPr>
      </w:pPr>
      <w:r>
        <w:rPr>
          <w:rFonts w:hint="eastAsia" w:ascii="仿宋" w:hAnsi="仿宋" w:eastAsia="仿宋" w:cs="仿宋"/>
          <w:b/>
          <w:bCs w:val="0"/>
          <w:sz w:val="32"/>
          <w:szCs w:val="32"/>
        </w:rPr>
        <w:t>第六章 净资产管理</w:t>
      </w:r>
    </w:p>
    <w:p w14:paraId="2367769F">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第二十</w:t>
      </w:r>
      <w:r>
        <w:rPr>
          <w:rFonts w:hint="eastAsia" w:ascii="仿宋" w:hAnsi="仿宋" w:eastAsia="仿宋" w:cs="仿宋"/>
          <w:b/>
          <w:bCs/>
          <w:i w:val="0"/>
          <w:iCs w:val="0"/>
          <w:sz w:val="32"/>
          <w:szCs w:val="32"/>
        </w:rPr>
        <w:t>二条</w:t>
      </w:r>
      <w:r>
        <w:rPr>
          <w:rFonts w:hint="eastAsia" w:ascii="仿宋" w:hAnsi="仿宋" w:eastAsia="仿宋" w:cs="仿宋"/>
          <w:b/>
          <w:bCs/>
          <w:i w:val="0"/>
          <w:iCs w:val="0"/>
          <w:sz w:val="32"/>
          <w:szCs w:val="32"/>
          <w:lang w:val="en-US" w:eastAsia="zh-CN"/>
        </w:rPr>
        <w:t xml:space="preserve">  </w:t>
      </w:r>
      <w:r>
        <w:rPr>
          <w:rFonts w:hint="eastAsia" w:ascii="仿宋" w:hAnsi="仿宋" w:eastAsia="仿宋" w:cs="仿宋"/>
          <w:sz w:val="32"/>
          <w:szCs w:val="32"/>
        </w:rPr>
        <w:t>按照其是否受到时间限制或用途限制分限定性净资产和非限定性净资产进行核算。如果资产或者资产所产生的经济利益（如资产的投资收益和利息等）的使用受到资产提供者或者有关法律法规所设置的时间限制或（和）用途限制，则由此形成的净资产即为限定性净资产；国家有关</w:t>
      </w:r>
      <w:r>
        <w:rPr>
          <w:rFonts w:hint="eastAsia" w:ascii="仿宋" w:hAnsi="仿宋" w:eastAsia="仿宋" w:cs="仿宋"/>
          <w:sz w:val="32"/>
          <w:szCs w:val="32"/>
          <w:lang w:eastAsia="zh-CN"/>
        </w:rPr>
        <w:t>法律法规</w:t>
      </w:r>
      <w:r>
        <w:rPr>
          <w:rFonts w:hint="eastAsia" w:ascii="仿宋" w:hAnsi="仿宋" w:eastAsia="仿宋" w:cs="仿宋"/>
          <w:sz w:val="32"/>
          <w:szCs w:val="32"/>
        </w:rPr>
        <w:t>对净资产的使用直接设置限制的，该受限制的净资产亦为限定性净资产；除此之外的其他净资产，即为非限定性净资产。</w:t>
      </w:r>
    </w:p>
    <w:p w14:paraId="0D11617F">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时间限制是指资产提供者或者国家有关法律法规要求基金会在收到资产后的特定时期之内或特定日期之后使用该项资产，或者对资产的使用设置了永久限制。</w:t>
      </w:r>
    </w:p>
    <w:p w14:paraId="6DBAF86A">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用途限制是指资产提供者或者国家有关法律法规要求基金会将收到的资产用于某一特定的用途。</w:t>
      </w:r>
    </w:p>
    <w:p w14:paraId="2A6D7487">
      <w:pPr>
        <w:pStyle w:val="10"/>
        <w:shd w:val="clear" w:color="auto" w:fill="auto"/>
        <w:spacing w:before="100" w:beforeAutospacing="1" w:after="100" w:afterAutospacing="1" w:line="240" w:lineRule="auto"/>
        <w:ind w:firstLine="0"/>
        <w:jc w:val="center"/>
        <w:rPr>
          <w:rFonts w:hint="eastAsia" w:ascii="仿宋" w:hAnsi="仿宋" w:eastAsia="仿宋" w:cs="仿宋"/>
          <w:b/>
          <w:bCs w:val="0"/>
          <w:sz w:val="32"/>
          <w:szCs w:val="32"/>
        </w:rPr>
      </w:pPr>
      <w:r>
        <w:rPr>
          <w:rFonts w:hint="eastAsia" w:ascii="仿宋" w:hAnsi="仿宋" w:eastAsia="仿宋" w:cs="仿宋"/>
          <w:b/>
          <w:bCs w:val="0"/>
          <w:sz w:val="32"/>
          <w:szCs w:val="32"/>
        </w:rPr>
        <w:t>第七章 收入管理</w:t>
      </w:r>
    </w:p>
    <w:p w14:paraId="383F0EEB">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第二十三条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基金会收入按其来源分为捐赠收入、</w:t>
      </w:r>
      <w:r>
        <w:rPr>
          <w:rFonts w:hint="eastAsia" w:ascii="仿宋" w:hAnsi="仿宋" w:eastAsia="仿宋" w:cs="仿宋"/>
          <w:sz w:val="32"/>
          <w:szCs w:val="32"/>
          <w:lang w:val="en-US" w:eastAsia="zh-CN"/>
        </w:rPr>
        <w:t>服务收入、</w:t>
      </w:r>
      <w:r>
        <w:rPr>
          <w:rFonts w:hint="eastAsia" w:ascii="仿宋" w:hAnsi="仿宋" w:eastAsia="仿宋" w:cs="仿宋"/>
          <w:sz w:val="32"/>
          <w:szCs w:val="32"/>
        </w:rPr>
        <w:t>投资收益和其他收入等。</w:t>
      </w:r>
    </w:p>
    <w:p w14:paraId="3B0642E6">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捐赠收入，即接受其他单位或者个人捐赠所取得的收入，包括捐赠资金和捐赠实物。</w:t>
      </w:r>
    </w:p>
    <w:p w14:paraId="6855A1C9">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highlight w:val="none"/>
          <w:lang w:val="en-US" w:eastAsia="zh-CN"/>
        </w:rPr>
        <w:t>服务收入，</w:t>
      </w:r>
      <w:r>
        <w:rPr>
          <w:rFonts w:hint="eastAsia" w:ascii="仿宋" w:hAnsi="仿宋" w:eastAsia="仿宋" w:cs="仿宋"/>
          <w:sz w:val="32"/>
          <w:szCs w:val="32"/>
          <w:highlight w:val="none"/>
        </w:rPr>
        <w:t>即</w:t>
      </w:r>
      <w:r>
        <w:rPr>
          <w:rFonts w:hint="eastAsia" w:ascii="仿宋" w:hAnsi="仿宋" w:eastAsia="仿宋" w:cs="仿宋"/>
          <w:sz w:val="32"/>
          <w:szCs w:val="32"/>
          <w:highlight w:val="none"/>
          <w:lang w:val="en-US" w:eastAsia="zh-CN"/>
        </w:rPr>
        <w:t>基金会提供专业服务所获得的收入。</w:t>
      </w:r>
    </w:p>
    <w:p w14:paraId="27A46A02">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投资收益，即将基金会的基金按照合法、安全、有效的原则实现保值、增值获得的收入。</w:t>
      </w:r>
    </w:p>
    <w:p w14:paraId="0CBCFA0D">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其他收入是指除上述主要业务活动收入以外的其他收入，如固定资产处置净收入、无形资产处置净收入等。</w:t>
      </w:r>
    </w:p>
    <w:p w14:paraId="38E9E31C">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第二十四条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基金会对于各项收入按是否存在时间或用途的限制区分为非限定性收入和限定性收入进行核算，并于期末分别结转至净资产项下的非限定性净资产和限定性净资产，作为净资产的加项。</w:t>
      </w:r>
    </w:p>
    <w:p w14:paraId="1D70F8EF">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第二十五条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基金会接受的非现金捐赠，在捐赠人提供了发票、报关单</w:t>
      </w:r>
      <w:r>
        <w:rPr>
          <w:rFonts w:hint="eastAsia" w:ascii="仿宋" w:hAnsi="仿宋" w:eastAsia="仿宋" w:cs="仿宋"/>
          <w:sz w:val="32"/>
          <w:szCs w:val="32"/>
          <w:lang w:eastAsia="zh-CN"/>
        </w:rPr>
        <w:t>或其他</w:t>
      </w:r>
      <w:r>
        <w:rPr>
          <w:rFonts w:hint="eastAsia" w:ascii="仿宋" w:hAnsi="仿宋" w:eastAsia="仿宋" w:cs="仿宋"/>
          <w:sz w:val="32"/>
          <w:szCs w:val="32"/>
        </w:rPr>
        <w:t>凭据的情况下，应当以相关凭据作为确认入账价值的依据；在捐赠方不能提供凭据的情况下，应以其公允价值作为确认入账价值的依据。</w:t>
      </w:r>
    </w:p>
    <w:p w14:paraId="105DBA47">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第二十六条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接受捐赠的固定资产、股权、无形资产、文物文化资产，没有发票、报关单或其他凭据作为入账依据的，应当以具有合法资质的第三方机构的评估作为确认入账价值的依据。无法评估或经评估无法确认价格的，基金会不得计入捐赠收入，不得开具捐赠票据，应当另外造册登记。</w:t>
      </w:r>
    </w:p>
    <w:p w14:paraId="430B9D5C">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第二十七条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基金会接受捐赠应确保公益性。附加对捐赠人构成利益回报条件的赠与和不符合公益性质的赠与，不应确认为公益捐赠。</w:t>
      </w:r>
    </w:p>
    <w:p w14:paraId="5D424B7D">
      <w:pPr>
        <w:pStyle w:val="10"/>
        <w:shd w:val="clear" w:color="auto" w:fill="auto"/>
        <w:spacing w:before="100" w:beforeAutospacing="1" w:after="100" w:afterAutospacing="1" w:line="240" w:lineRule="auto"/>
        <w:ind w:firstLine="0"/>
        <w:jc w:val="center"/>
        <w:rPr>
          <w:rFonts w:hint="eastAsia" w:ascii="仿宋" w:hAnsi="仿宋" w:eastAsia="仿宋" w:cs="仿宋"/>
          <w:b/>
          <w:bCs w:val="0"/>
          <w:sz w:val="32"/>
          <w:szCs w:val="32"/>
        </w:rPr>
      </w:pPr>
      <w:r>
        <w:rPr>
          <w:rFonts w:hint="eastAsia" w:ascii="仿宋" w:hAnsi="仿宋" w:eastAsia="仿宋" w:cs="仿宋"/>
          <w:b/>
          <w:bCs w:val="0"/>
          <w:sz w:val="32"/>
          <w:szCs w:val="32"/>
        </w:rPr>
        <w:t>第八章 费用管理</w:t>
      </w:r>
    </w:p>
    <w:p w14:paraId="2631B15C">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第二十八条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费用按其功能分为业务活动成本、管理费用、筹资费用、其他费用。</w:t>
      </w:r>
    </w:p>
    <w:p w14:paraId="1CF77E48">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业务活动成本，是指基金会为了实现其业务活动目标、开展其项目活动或者提供服务所发生的费用，主要核算基金会用于公益事业的支出，包括直接用于受助人的款物和开展公益项目发生的直接运行费用。需按项目或业务大类进行核算和列报。</w:t>
      </w:r>
    </w:p>
    <w:p w14:paraId="4D44050C">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管理费用，主要核算基金会为组织和管理其业务活动所发生的各项费用，包括基金会工作人员工资福利和基金会行政办公支出。基金会的管理费支出应当符合《基金会管理条例》的要求</w:t>
      </w:r>
      <w:r>
        <w:rPr>
          <w:rFonts w:hint="eastAsia" w:ascii="仿宋" w:hAnsi="仿宋" w:eastAsia="仿宋" w:cs="仿宋"/>
          <w:sz w:val="32"/>
          <w:szCs w:val="32"/>
          <w:lang w:eastAsia="zh-CN"/>
        </w:rPr>
        <w:t>。</w:t>
      </w:r>
    </w:p>
    <w:p w14:paraId="7A9999B2">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筹资费用，主要核算基金会为筹集业务活动所需资金而发生的费用，包括基金会为了获得捐赠资产而举办的募款活动费、印刷费和发放募款宣传资料费以及其他与募款有关的费用等。</w:t>
      </w:r>
    </w:p>
    <w:p w14:paraId="53131AA3">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其他费用，主要核算基金会发生的无法归属到上述业务活动成本、管理费用或者筹资费用中的费用，包括固定资产处置净损失等。</w:t>
      </w:r>
    </w:p>
    <w:p w14:paraId="7184CDA8">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第二十九条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基金会发生的各类费用，在实际发生时按其发生额计入当期费用。基金会的各项费用应严格执行国家和基金会等有关财务规章制度规定的开支范围及开支标准。</w:t>
      </w:r>
    </w:p>
    <w:p w14:paraId="77306EE9">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第三十条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期末，基金会将本期发生的各项费用结转至净资产项下，作为净资产的减项。</w:t>
      </w:r>
    </w:p>
    <w:p w14:paraId="3EE2D3EA">
      <w:pPr>
        <w:pStyle w:val="10"/>
        <w:shd w:val="clear" w:color="auto" w:fill="auto"/>
        <w:spacing w:before="100" w:beforeAutospacing="1" w:after="100" w:afterAutospacing="1" w:line="240" w:lineRule="auto"/>
        <w:ind w:firstLine="0"/>
        <w:jc w:val="center"/>
        <w:rPr>
          <w:rFonts w:hint="eastAsia" w:ascii="仿宋" w:hAnsi="仿宋" w:eastAsia="仿宋" w:cs="仿宋"/>
          <w:b/>
          <w:bCs w:val="0"/>
          <w:sz w:val="32"/>
          <w:szCs w:val="32"/>
        </w:rPr>
      </w:pPr>
      <w:r>
        <w:rPr>
          <w:rFonts w:hint="eastAsia" w:ascii="仿宋" w:hAnsi="仿宋" w:eastAsia="仿宋" w:cs="仿宋"/>
          <w:b/>
          <w:bCs w:val="0"/>
          <w:sz w:val="32"/>
          <w:szCs w:val="32"/>
        </w:rPr>
        <w:t>第九章 外汇收支管理</w:t>
      </w:r>
    </w:p>
    <w:p w14:paraId="7018D88B">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第三十一条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基金会根据《中华人民共和国外汇管理条例》规定开立外币账户，办理外汇业务，并设置外币账套进行辅助核算。</w:t>
      </w:r>
    </w:p>
    <w:p w14:paraId="26B2E98D">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第三十</w:t>
      </w:r>
      <w:r>
        <w:rPr>
          <w:rFonts w:hint="eastAsia" w:ascii="仿宋" w:hAnsi="仿宋" w:eastAsia="仿宋" w:cs="仿宋"/>
          <w:b/>
          <w:bCs/>
          <w:sz w:val="32"/>
          <w:szCs w:val="32"/>
          <w:lang w:eastAsia="zh-CN"/>
        </w:rPr>
        <w:t>二</w:t>
      </w:r>
      <w:r>
        <w:rPr>
          <w:rFonts w:hint="eastAsia" w:ascii="仿宋" w:hAnsi="仿宋" w:eastAsia="仿宋" w:cs="仿宋"/>
          <w:b/>
          <w:bCs/>
          <w:sz w:val="32"/>
          <w:szCs w:val="32"/>
        </w:rPr>
        <w:t>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基金会发生外币业务后，应当采用业务发生时的汇率，将外币金额折算为记账本位币金额记账。当汇率波动较小时，也可以采用业务发生当期期初的汇率进行折算。</w:t>
      </w:r>
    </w:p>
    <w:p w14:paraId="5044E985">
      <w:pPr>
        <w:spacing w:line="540" w:lineRule="exact"/>
        <w:ind w:firstLine="643" w:firstLineChars="200"/>
        <w:rPr>
          <w:rFonts w:hint="eastAsia" w:ascii="仿宋" w:hAnsi="仿宋" w:eastAsia="仿宋" w:cs="仿宋"/>
        </w:rPr>
      </w:pPr>
      <w:r>
        <w:rPr>
          <w:rFonts w:hint="eastAsia" w:ascii="仿宋" w:hAnsi="仿宋" w:eastAsia="仿宋" w:cs="仿宋"/>
          <w:b/>
          <w:bCs/>
          <w:sz w:val="32"/>
          <w:szCs w:val="32"/>
        </w:rPr>
        <w:t>第三十</w:t>
      </w:r>
      <w:r>
        <w:rPr>
          <w:rFonts w:hint="eastAsia" w:ascii="仿宋" w:hAnsi="仿宋" w:eastAsia="仿宋" w:cs="仿宋"/>
          <w:b/>
          <w:bCs/>
          <w:sz w:val="32"/>
          <w:szCs w:val="32"/>
          <w:lang w:eastAsia="zh-CN"/>
        </w:rPr>
        <w:t>三</w:t>
      </w:r>
      <w:r>
        <w:rPr>
          <w:rFonts w:hint="eastAsia" w:ascii="仿宋" w:hAnsi="仿宋" w:eastAsia="仿宋" w:cs="仿宋"/>
          <w:b/>
          <w:bCs/>
          <w:sz w:val="32"/>
          <w:szCs w:val="32"/>
        </w:rPr>
        <w:t>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各种外币账户的外币余额</w:t>
      </w:r>
      <w:r>
        <w:rPr>
          <w:rFonts w:hint="eastAsia" w:ascii="仿宋" w:hAnsi="仿宋" w:eastAsia="仿宋" w:cs="仿宋"/>
          <w:sz w:val="32"/>
          <w:szCs w:val="32"/>
          <w:lang w:eastAsia="zh-CN"/>
        </w:rPr>
        <w:t>，</w:t>
      </w:r>
      <w:r>
        <w:rPr>
          <w:rFonts w:hint="eastAsia" w:ascii="仿宋" w:hAnsi="仿宋" w:eastAsia="仿宋" w:cs="仿宋"/>
          <w:sz w:val="32"/>
          <w:szCs w:val="32"/>
        </w:rPr>
        <w:t>期末时应当按照期末汇率折合为记账本位币，按照期末汇率折合的记账本位币金额与账面记账本位币金额之间的差额，作为汇兑损益计入当期费用。</w:t>
      </w:r>
    </w:p>
    <w:p w14:paraId="76809F02">
      <w:pPr>
        <w:pStyle w:val="10"/>
        <w:shd w:val="clear" w:color="auto" w:fill="auto"/>
        <w:spacing w:before="100" w:beforeAutospacing="1" w:after="100" w:afterAutospacing="1" w:line="240" w:lineRule="auto"/>
        <w:ind w:firstLine="0"/>
        <w:jc w:val="center"/>
        <w:rPr>
          <w:rFonts w:hint="eastAsia" w:ascii="仿宋" w:hAnsi="仿宋" w:eastAsia="仿宋" w:cs="仿宋"/>
          <w:b/>
          <w:bCs w:val="0"/>
          <w:sz w:val="32"/>
          <w:szCs w:val="32"/>
        </w:rPr>
      </w:pPr>
      <w:r>
        <w:rPr>
          <w:rFonts w:hint="eastAsia" w:ascii="仿宋" w:hAnsi="仿宋" w:eastAsia="仿宋" w:cs="仿宋"/>
          <w:b/>
          <w:bCs w:val="0"/>
          <w:sz w:val="32"/>
          <w:szCs w:val="32"/>
        </w:rPr>
        <w:t>第十章 捐赠票据管理</w:t>
      </w:r>
    </w:p>
    <w:p w14:paraId="0936C45B">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第三十</w:t>
      </w:r>
      <w:r>
        <w:rPr>
          <w:rFonts w:hint="eastAsia" w:ascii="仿宋" w:hAnsi="仿宋" w:eastAsia="仿宋" w:cs="仿宋"/>
          <w:b/>
          <w:bCs/>
          <w:sz w:val="32"/>
          <w:szCs w:val="32"/>
          <w:lang w:eastAsia="zh-CN"/>
        </w:rPr>
        <w:t>四</w:t>
      </w:r>
      <w:r>
        <w:rPr>
          <w:rFonts w:hint="eastAsia" w:ascii="仿宋" w:hAnsi="仿宋" w:eastAsia="仿宋" w:cs="仿宋"/>
          <w:b/>
          <w:bCs/>
          <w:sz w:val="32"/>
          <w:szCs w:val="32"/>
        </w:rPr>
        <w:t>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基金会使用的票据为“公益事业捐赠统一票据”，由财务部统一领购和管理，其他任何单位不得私自印制和购买票据。</w:t>
      </w:r>
    </w:p>
    <w:p w14:paraId="0B81E28A">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第三十</w:t>
      </w:r>
      <w:r>
        <w:rPr>
          <w:rFonts w:hint="eastAsia" w:ascii="仿宋" w:hAnsi="仿宋" w:eastAsia="仿宋" w:cs="仿宋"/>
          <w:b/>
          <w:bCs/>
          <w:sz w:val="32"/>
          <w:szCs w:val="32"/>
          <w:lang w:eastAsia="zh-CN"/>
        </w:rPr>
        <w:t>五</w:t>
      </w:r>
      <w:r>
        <w:rPr>
          <w:rFonts w:hint="eastAsia" w:ascii="仿宋" w:hAnsi="仿宋" w:eastAsia="仿宋" w:cs="仿宋"/>
          <w:b/>
          <w:bCs/>
          <w:sz w:val="32"/>
          <w:szCs w:val="32"/>
        </w:rPr>
        <w:t>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捐赠款须由审核人员确认银行到账后方可开具捐赠票据，不得转借、转让或为其他单位或个人代开票据。</w:t>
      </w:r>
    </w:p>
    <w:p w14:paraId="2751705B">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第三十</w:t>
      </w:r>
      <w:r>
        <w:rPr>
          <w:rFonts w:hint="eastAsia" w:ascii="仿宋" w:hAnsi="仿宋" w:eastAsia="仿宋" w:cs="仿宋"/>
          <w:b/>
          <w:bCs/>
          <w:sz w:val="32"/>
          <w:szCs w:val="32"/>
          <w:lang w:eastAsia="zh-CN"/>
        </w:rPr>
        <w:t>六</w:t>
      </w:r>
      <w:r>
        <w:rPr>
          <w:rFonts w:hint="eastAsia" w:ascii="仿宋" w:hAnsi="仿宋" w:eastAsia="仿宋" w:cs="仿宋"/>
          <w:b/>
          <w:bCs/>
          <w:sz w:val="32"/>
          <w:szCs w:val="32"/>
        </w:rPr>
        <w:t>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基金会取得的各项捐赠收入应当开具捐赠票据。</w:t>
      </w:r>
    </w:p>
    <w:p w14:paraId="5FF680B1">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w:t>
      </w:r>
      <w:r>
        <w:rPr>
          <w:rFonts w:hint="eastAsia" w:ascii="仿宋" w:hAnsi="仿宋" w:eastAsia="仿宋" w:cs="仿宋"/>
          <w:b/>
          <w:bCs/>
          <w:sz w:val="32"/>
          <w:szCs w:val="32"/>
          <w:lang w:eastAsia="zh-CN"/>
        </w:rPr>
        <w:t>三十七</w:t>
      </w:r>
      <w:r>
        <w:rPr>
          <w:rFonts w:hint="eastAsia" w:ascii="仿宋" w:hAnsi="仿宋" w:eastAsia="仿宋" w:cs="仿宋"/>
          <w:b/>
          <w:bCs/>
          <w:sz w:val="32"/>
          <w:szCs w:val="32"/>
        </w:rPr>
        <w:t>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财务人员应妥善保管好各类票据，不得丢失、毁损，使用和管理应当遵守国家和基金会的有关规定。</w:t>
      </w:r>
    </w:p>
    <w:p w14:paraId="17D46233">
      <w:pPr>
        <w:pStyle w:val="10"/>
        <w:shd w:val="clear" w:color="auto" w:fill="auto"/>
        <w:spacing w:before="100" w:beforeAutospacing="1" w:after="100" w:afterAutospacing="1" w:line="240" w:lineRule="auto"/>
        <w:ind w:firstLine="0"/>
        <w:jc w:val="center"/>
        <w:rPr>
          <w:rFonts w:hint="eastAsia" w:ascii="仿宋" w:hAnsi="仿宋" w:eastAsia="仿宋" w:cs="仿宋"/>
          <w:b/>
          <w:bCs w:val="0"/>
          <w:sz w:val="32"/>
          <w:szCs w:val="32"/>
        </w:rPr>
      </w:pPr>
      <w:r>
        <w:rPr>
          <w:rFonts w:hint="eastAsia" w:ascii="仿宋" w:hAnsi="仿宋" w:eastAsia="仿宋" w:cs="仿宋"/>
          <w:b/>
          <w:bCs w:val="0"/>
          <w:sz w:val="32"/>
          <w:szCs w:val="32"/>
        </w:rPr>
        <w:t>第十一章 项目收支管理及使用</w:t>
      </w:r>
    </w:p>
    <w:p w14:paraId="5080CD0F">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w:t>
      </w:r>
      <w:r>
        <w:rPr>
          <w:rFonts w:hint="eastAsia" w:ascii="仿宋" w:hAnsi="仿宋" w:eastAsia="仿宋" w:cs="仿宋"/>
          <w:b/>
          <w:bCs/>
          <w:sz w:val="32"/>
          <w:szCs w:val="32"/>
          <w:lang w:eastAsia="zh-CN"/>
        </w:rPr>
        <w:t>三十八</w:t>
      </w:r>
      <w:r>
        <w:rPr>
          <w:rFonts w:hint="eastAsia" w:ascii="仿宋" w:hAnsi="仿宋" w:eastAsia="仿宋" w:cs="仿宋"/>
          <w:b/>
          <w:bCs/>
          <w:sz w:val="32"/>
          <w:szCs w:val="32"/>
        </w:rPr>
        <w:t>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应当将接受的捐赠财产用于资助符合其宗旨和业务范围的活动和事业。基金会与捐赠人订立了捐赠协议的，应当按照协议约定使用，不能随意改变捐赠资金的使用方向和用途。如需改变用途，应当征得捐赠人书面同意。</w:t>
      </w:r>
    </w:p>
    <w:p w14:paraId="155B9B94">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w:t>
      </w:r>
      <w:r>
        <w:rPr>
          <w:rFonts w:hint="eastAsia" w:ascii="仿宋" w:hAnsi="仿宋" w:eastAsia="仿宋" w:cs="仿宋"/>
          <w:b/>
          <w:bCs/>
          <w:sz w:val="32"/>
          <w:szCs w:val="32"/>
          <w:lang w:eastAsia="zh-CN"/>
        </w:rPr>
        <w:t>三十九</w:t>
      </w:r>
      <w:r>
        <w:rPr>
          <w:rFonts w:hint="eastAsia" w:ascii="仿宋" w:hAnsi="仿宋" w:eastAsia="仿宋" w:cs="仿宋"/>
          <w:b/>
          <w:bCs/>
          <w:sz w:val="32"/>
          <w:szCs w:val="32"/>
        </w:rPr>
        <w:t>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基金会接受捐赠，必须与捐赠人明确权利义务。</w:t>
      </w:r>
    </w:p>
    <w:p w14:paraId="76053D43">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rPr>
        <w:t>第</w:t>
      </w:r>
      <w:r>
        <w:rPr>
          <w:rFonts w:hint="eastAsia" w:ascii="仿宋" w:hAnsi="仿宋" w:eastAsia="仿宋" w:cs="仿宋"/>
          <w:b/>
          <w:bCs/>
          <w:sz w:val="32"/>
          <w:szCs w:val="32"/>
          <w:lang w:eastAsia="zh-CN"/>
        </w:rPr>
        <w:t>四十</w:t>
      </w:r>
      <w:r>
        <w:rPr>
          <w:rFonts w:hint="eastAsia" w:ascii="仿宋" w:hAnsi="仿宋" w:eastAsia="仿宋" w:cs="仿宋"/>
          <w:b/>
          <w:bCs/>
          <w:sz w:val="32"/>
          <w:szCs w:val="32"/>
        </w:rPr>
        <w:t>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捐赠项目的项目负责人必须为基金会职工。</w:t>
      </w:r>
    </w:p>
    <w:p w14:paraId="249AB270">
      <w:pPr>
        <w:pStyle w:val="10"/>
        <w:shd w:val="clear" w:color="auto" w:fill="auto"/>
        <w:spacing w:before="100" w:beforeAutospacing="1" w:after="100" w:afterAutospacing="1" w:line="240" w:lineRule="auto"/>
        <w:ind w:firstLine="0"/>
        <w:jc w:val="center"/>
        <w:rPr>
          <w:rFonts w:hint="eastAsia" w:ascii="仿宋" w:hAnsi="仿宋" w:eastAsia="仿宋" w:cs="仿宋"/>
          <w:b/>
          <w:bCs w:val="0"/>
          <w:sz w:val="32"/>
          <w:szCs w:val="32"/>
        </w:rPr>
      </w:pPr>
      <w:r>
        <w:rPr>
          <w:rFonts w:hint="eastAsia" w:ascii="仿宋" w:hAnsi="仿宋" w:eastAsia="仿宋" w:cs="仿宋"/>
          <w:b/>
          <w:bCs w:val="0"/>
          <w:sz w:val="32"/>
          <w:szCs w:val="32"/>
        </w:rPr>
        <w:t>第十二章 会计电算化管理</w:t>
      </w:r>
    </w:p>
    <w:p w14:paraId="60241FBE">
      <w:pPr>
        <w:spacing w:line="540" w:lineRule="exact"/>
        <w:ind w:firstLine="643" w:firstLineChars="200"/>
        <w:rPr>
          <w:rFonts w:hint="eastAsia" w:ascii="仿宋" w:hAnsi="仿宋" w:eastAsia="仿宋" w:cs="仿宋"/>
          <w:sz w:val="32"/>
          <w:szCs w:val="32"/>
          <w:lang w:eastAsia="zh-CN" w:bidi="zh-CN"/>
        </w:rPr>
      </w:pPr>
      <w:r>
        <w:rPr>
          <w:rFonts w:hint="eastAsia" w:ascii="仿宋" w:hAnsi="仿宋" w:eastAsia="仿宋" w:cs="仿宋"/>
          <w:b/>
          <w:bCs/>
          <w:sz w:val="32"/>
          <w:szCs w:val="32"/>
          <w:lang w:eastAsia="zh-CN"/>
        </w:rPr>
        <w:t>第四十一条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lang w:eastAsia="zh-CN" w:bidi="zh-CN"/>
        </w:rPr>
        <w:t>基金会使用</w:t>
      </w:r>
      <w:r>
        <w:rPr>
          <w:rFonts w:hint="eastAsia" w:ascii="仿宋" w:hAnsi="仿宋" w:eastAsia="仿宋" w:cs="仿宋"/>
          <w:sz w:val="32"/>
          <w:szCs w:val="32"/>
          <w:highlight w:val="none"/>
          <w:lang w:val="en-US" w:eastAsia="zh-CN" w:bidi="zh-CN"/>
        </w:rPr>
        <w:t>金蝶云星辰</w:t>
      </w:r>
      <w:r>
        <w:rPr>
          <w:rFonts w:hint="eastAsia" w:ascii="仿宋" w:hAnsi="仿宋" w:eastAsia="仿宋" w:cs="仿宋"/>
          <w:sz w:val="32"/>
          <w:szCs w:val="32"/>
          <w:lang w:eastAsia="zh-CN" w:bidi="zh-CN"/>
        </w:rPr>
        <w:t>财务软件，执行《会计法》《民间非营利组织会计制度》进行财务核算。</w:t>
      </w:r>
    </w:p>
    <w:p w14:paraId="6C619E54">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lang w:eastAsia="zh-CN"/>
        </w:rPr>
        <w:t>第四十二条</w:t>
      </w:r>
      <w:r>
        <w:rPr>
          <w:rFonts w:hint="eastAsia" w:ascii="仿宋" w:hAnsi="仿宋" w:eastAsia="仿宋" w:cs="仿宋"/>
          <w:sz w:val="32"/>
          <w:szCs w:val="32"/>
          <w:lang w:val="en-US" w:eastAsia="zh-CN" w:bidi="zh-CN"/>
        </w:rPr>
        <w:t xml:space="preserve">  </w:t>
      </w:r>
      <w:r>
        <w:rPr>
          <w:rFonts w:hint="eastAsia" w:ascii="仿宋" w:hAnsi="仿宋" w:eastAsia="仿宋" w:cs="仿宋"/>
          <w:sz w:val="32"/>
          <w:szCs w:val="32"/>
          <w:lang w:val="zh-CN" w:eastAsia="zh-CN" w:bidi="zh-CN"/>
        </w:rPr>
        <w:t>会计人员根据原始凭证运用正确的会计科目填制记账凭证，并打印机制记账凭证。</w:t>
      </w:r>
    </w:p>
    <w:p w14:paraId="43FE8EC0">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lang w:eastAsia="zh-CN"/>
        </w:rPr>
        <w:t>第四十三条</w:t>
      </w:r>
      <w:r>
        <w:rPr>
          <w:rFonts w:hint="eastAsia" w:ascii="仿宋" w:hAnsi="仿宋" w:eastAsia="仿宋" w:cs="仿宋"/>
          <w:sz w:val="32"/>
          <w:szCs w:val="32"/>
          <w:lang w:val="en-US" w:eastAsia="zh-CN" w:bidi="zh-CN"/>
        </w:rPr>
        <w:t xml:space="preserve">  </w:t>
      </w:r>
      <w:r>
        <w:rPr>
          <w:rFonts w:hint="eastAsia" w:ascii="仿宋" w:hAnsi="仿宋" w:eastAsia="仿宋" w:cs="仿宋"/>
          <w:sz w:val="32"/>
          <w:szCs w:val="32"/>
          <w:lang w:val="zh-CN" w:eastAsia="zh-CN" w:bidi="zh-CN"/>
        </w:rPr>
        <w:t>审核人员审核记账凭证及所附原始凭证，审核无误后打印出记账凭证，并立即对机内对应记账凭证执行“审核”操作。如未即时核对机内记账凭证，应将原打印出的记账凭证与机内凭证核对无误后，才能对机内记账凭证执行“审核”操作，严禁未经核对执行“成批审核”操作。</w:t>
      </w:r>
    </w:p>
    <w:p w14:paraId="3AB8ACF2">
      <w:pPr>
        <w:spacing w:line="540" w:lineRule="exact"/>
        <w:ind w:firstLine="643" w:firstLineChars="200"/>
        <w:rPr>
          <w:rFonts w:hint="eastAsia" w:ascii="仿宋" w:hAnsi="仿宋" w:eastAsia="仿宋" w:cs="仿宋"/>
          <w:sz w:val="32"/>
          <w:szCs w:val="32"/>
          <w:lang w:val="zh-CN" w:eastAsia="zh-CN" w:bidi="zh-CN"/>
        </w:rPr>
      </w:pPr>
      <w:r>
        <w:rPr>
          <w:rFonts w:hint="eastAsia" w:ascii="仿宋" w:hAnsi="仿宋" w:eastAsia="仿宋" w:cs="仿宋"/>
          <w:b/>
          <w:bCs/>
          <w:sz w:val="32"/>
          <w:szCs w:val="32"/>
          <w:lang w:eastAsia="zh-CN"/>
        </w:rPr>
        <w:t>第四十四条</w:t>
      </w:r>
      <w:r>
        <w:rPr>
          <w:rFonts w:hint="eastAsia" w:ascii="仿宋" w:hAnsi="仿宋" w:eastAsia="仿宋" w:cs="仿宋"/>
          <w:sz w:val="32"/>
          <w:szCs w:val="32"/>
          <w:lang w:val="en-US" w:eastAsia="zh-CN" w:bidi="zh-CN"/>
        </w:rPr>
        <w:t xml:space="preserve">  </w:t>
      </w:r>
      <w:r>
        <w:rPr>
          <w:rFonts w:hint="eastAsia" w:ascii="仿宋" w:hAnsi="仿宋" w:eastAsia="仿宋" w:cs="仿宋"/>
          <w:sz w:val="32"/>
          <w:szCs w:val="32"/>
          <w:lang w:val="zh-CN" w:eastAsia="zh-CN" w:bidi="zh-CN"/>
        </w:rPr>
        <w:t>审核人员应对自己审核过的原始凭证、记账凭证负责，如出现问题按相关财务制度规定承担相应责任。</w:t>
      </w:r>
    </w:p>
    <w:p w14:paraId="1F88FB4F">
      <w:pPr>
        <w:pStyle w:val="10"/>
        <w:shd w:val="clear" w:color="auto" w:fill="auto"/>
        <w:spacing w:before="100" w:beforeAutospacing="1" w:after="100" w:afterAutospacing="1" w:line="240" w:lineRule="auto"/>
        <w:ind w:firstLine="0"/>
        <w:jc w:val="center"/>
        <w:rPr>
          <w:rFonts w:hint="eastAsia" w:ascii="仿宋" w:hAnsi="仿宋" w:eastAsia="仿宋" w:cs="仿宋"/>
          <w:b/>
          <w:bCs w:val="0"/>
          <w:sz w:val="32"/>
          <w:szCs w:val="32"/>
        </w:rPr>
      </w:pPr>
      <w:r>
        <w:rPr>
          <w:rFonts w:hint="eastAsia" w:ascii="仿宋" w:hAnsi="仿宋" w:eastAsia="仿宋" w:cs="仿宋"/>
          <w:b/>
          <w:bCs w:val="0"/>
          <w:sz w:val="32"/>
          <w:szCs w:val="32"/>
          <w:lang w:val="en-US" w:eastAsia="zh-CN"/>
        </w:rPr>
        <w:t xml:space="preserve">第十三章 支出审批权限及费用支出标准 </w:t>
      </w:r>
    </w:p>
    <w:p w14:paraId="798EEB4B">
      <w:pPr>
        <w:spacing w:line="540" w:lineRule="exact"/>
        <w:ind w:firstLine="643" w:firstLineChars="200"/>
        <w:rPr>
          <w:rFonts w:hint="eastAsia" w:ascii="仿宋" w:hAnsi="仿宋" w:eastAsia="仿宋" w:cs="仿宋"/>
          <w:sz w:val="32"/>
          <w:szCs w:val="32"/>
          <w:lang w:val="en-US" w:eastAsia="zh-CN" w:bidi="zh-CN"/>
        </w:rPr>
      </w:pPr>
      <w:r>
        <w:rPr>
          <w:rFonts w:hint="eastAsia" w:ascii="仿宋" w:hAnsi="仿宋" w:eastAsia="仿宋" w:cs="仿宋"/>
          <w:b/>
          <w:bCs/>
          <w:sz w:val="32"/>
          <w:szCs w:val="32"/>
          <w:lang w:val="en-US" w:eastAsia="zh-CN"/>
        </w:rPr>
        <w:t xml:space="preserve">第四十五条 </w:t>
      </w:r>
      <w:r>
        <w:rPr>
          <w:rFonts w:hint="eastAsia" w:ascii="仿宋" w:hAnsi="仿宋" w:eastAsia="仿宋" w:cs="仿宋"/>
          <w:sz w:val="32"/>
          <w:szCs w:val="32"/>
          <w:lang w:val="en-US" w:eastAsia="zh-CN" w:bidi="zh-CN"/>
        </w:rPr>
        <w:t>基金会项目支出通过审批流程进行审批；每笔开支超过</w:t>
      </w:r>
      <w:r>
        <w:rPr>
          <w:rFonts w:hint="eastAsia" w:ascii="仿宋" w:hAnsi="仿宋" w:eastAsia="仿宋" w:cs="仿宋"/>
          <w:sz w:val="32"/>
          <w:szCs w:val="32"/>
          <w:highlight w:val="none"/>
          <w:lang w:val="en-US" w:eastAsia="zh-CN" w:bidi="zh-CN"/>
        </w:rPr>
        <w:t>50</w:t>
      </w:r>
      <w:r>
        <w:rPr>
          <w:rFonts w:hint="eastAsia" w:ascii="仿宋" w:hAnsi="仿宋" w:eastAsia="仿宋" w:cs="仿宋"/>
          <w:sz w:val="32"/>
          <w:szCs w:val="32"/>
          <w:lang w:val="en-US" w:eastAsia="zh-CN" w:bidi="zh-CN"/>
        </w:rPr>
        <w:t>万元的报理事会审批。</w:t>
      </w:r>
    </w:p>
    <w:p w14:paraId="2F375D9F">
      <w:pPr>
        <w:spacing w:line="540" w:lineRule="exact"/>
        <w:ind w:firstLine="964" w:firstLineChars="300"/>
        <w:rPr>
          <w:rFonts w:hint="eastAsia" w:ascii="仿宋" w:hAnsi="仿宋" w:eastAsia="仿宋" w:cs="仿宋"/>
          <w:sz w:val="32"/>
          <w:szCs w:val="32"/>
          <w:lang w:val="zh-CN" w:eastAsia="zh-CN" w:bidi="zh-CN"/>
        </w:rPr>
      </w:pPr>
      <w:r>
        <w:rPr>
          <w:rFonts w:hint="eastAsia" w:ascii="仿宋" w:hAnsi="仿宋" w:eastAsia="仿宋" w:cs="仿宋"/>
          <w:b/>
          <w:bCs/>
          <w:sz w:val="32"/>
          <w:szCs w:val="32"/>
          <w:lang w:val="en-US" w:eastAsia="zh-CN"/>
        </w:rPr>
        <w:t xml:space="preserve">第四十六条 </w:t>
      </w:r>
      <w:r>
        <w:rPr>
          <w:rFonts w:hint="eastAsia" w:ascii="仿宋" w:hAnsi="仿宋" w:eastAsia="仿宋" w:cs="仿宋"/>
          <w:b w:val="0"/>
          <w:bCs w:val="0"/>
          <w:sz w:val="32"/>
          <w:szCs w:val="32"/>
          <w:highlight w:val="none"/>
          <w:lang w:val="en-US" w:eastAsia="zh-CN"/>
        </w:rPr>
        <w:t>基金会管理费用支出</w:t>
      </w:r>
      <w:r>
        <w:rPr>
          <w:rFonts w:hint="eastAsia" w:ascii="仿宋" w:hAnsi="仿宋" w:eastAsia="仿宋" w:cs="仿宋"/>
          <w:sz w:val="32"/>
          <w:szCs w:val="32"/>
          <w:lang w:val="en-US" w:eastAsia="zh-CN" w:bidi="zh-CN"/>
        </w:rPr>
        <w:t>通过审批流程进行审批</w:t>
      </w:r>
      <w:r>
        <w:rPr>
          <w:rFonts w:hint="eastAsia" w:ascii="仿宋" w:hAnsi="仿宋" w:eastAsia="仿宋" w:cs="仿宋"/>
          <w:b w:val="0"/>
          <w:bCs w:val="0"/>
          <w:sz w:val="32"/>
          <w:szCs w:val="32"/>
          <w:highlight w:val="none"/>
          <w:lang w:val="en-US" w:eastAsia="zh-CN"/>
        </w:rPr>
        <w:t>。用于工作人员工资福利和行政办公支出按照国家相关规定执行。</w:t>
      </w:r>
    </w:p>
    <w:p w14:paraId="1F66D4D5">
      <w:pPr>
        <w:pStyle w:val="10"/>
        <w:shd w:val="clear" w:color="auto" w:fill="auto"/>
        <w:spacing w:before="100" w:beforeAutospacing="1" w:after="100" w:afterAutospacing="1" w:line="240" w:lineRule="auto"/>
        <w:ind w:firstLine="0"/>
        <w:jc w:val="center"/>
        <w:rPr>
          <w:rFonts w:hint="eastAsia" w:ascii="仿宋" w:hAnsi="仿宋" w:eastAsia="仿宋" w:cs="仿宋"/>
          <w:bCs/>
          <w:sz w:val="32"/>
          <w:szCs w:val="32"/>
        </w:rPr>
      </w:pPr>
      <w:r>
        <w:rPr>
          <w:rFonts w:hint="eastAsia" w:ascii="仿宋" w:hAnsi="仿宋" w:eastAsia="仿宋" w:cs="仿宋"/>
          <w:b/>
          <w:bCs w:val="0"/>
          <w:sz w:val="32"/>
          <w:szCs w:val="32"/>
        </w:rPr>
        <w:t>第十四章 预算管理</w:t>
      </w:r>
    </w:p>
    <w:p w14:paraId="3E43CF50">
      <w:pPr>
        <w:spacing w:line="540" w:lineRule="exact"/>
        <w:ind w:firstLine="643" w:firstLineChars="200"/>
        <w:rPr>
          <w:rFonts w:hint="eastAsia" w:ascii="仿宋" w:hAnsi="仿宋" w:eastAsia="仿宋" w:cs="仿宋"/>
          <w:sz w:val="32"/>
          <w:szCs w:val="32"/>
          <w:lang w:eastAsia="zh-CN" w:bidi="zh-CN"/>
        </w:rPr>
      </w:pPr>
      <w:r>
        <w:rPr>
          <w:rFonts w:hint="eastAsia" w:ascii="仿宋" w:hAnsi="仿宋" w:eastAsia="仿宋" w:cs="仿宋"/>
          <w:b/>
          <w:bCs/>
          <w:sz w:val="32"/>
          <w:szCs w:val="32"/>
          <w:lang w:eastAsia="zh-CN"/>
        </w:rPr>
        <w:t>第四十七条</w:t>
      </w:r>
      <w:r>
        <w:rPr>
          <w:rFonts w:hint="eastAsia" w:ascii="仿宋" w:hAnsi="仿宋" w:eastAsia="仿宋" w:cs="仿宋"/>
          <w:sz w:val="32"/>
          <w:szCs w:val="32"/>
          <w:lang w:val="en-US" w:eastAsia="zh-CN" w:bidi="zh-CN"/>
        </w:rPr>
        <w:t xml:space="preserve">  </w:t>
      </w:r>
      <w:r>
        <w:rPr>
          <w:rFonts w:hint="eastAsia" w:ascii="仿宋" w:hAnsi="仿宋" w:eastAsia="仿宋" w:cs="仿宋"/>
          <w:sz w:val="32"/>
          <w:szCs w:val="32"/>
          <w:lang w:eastAsia="zh-CN" w:bidi="zh-CN"/>
        </w:rPr>
        <w:t>本基金会根据发展战略，按照年度工作计划和任务，本着资源统筹规划、保障工作重点、收入支出协调的原则，坚持勤俭办事的方针，编制年度财务预算。</w:t>
      </w:r>
    </w:p>
    <w:p w14:paraId="1548853C">
      <w:pPr>
        <w:spacing w:line="540" w:lineRule="exact"/>
        <w:ind w:firstLine="643" w:firstLineChars="200"/>
        <w:rPr>
          <w:rFonts w:hint="eastAsia" w:ascii="仿宋" w:hAnsi="仿宋" w:eastAsia="仿宋" w:cs="仿宋"/>
          <w:sz w:val="32"/>
          <w:szCs w:val="32"/>
          <w:highlight w:val="none"/>
          <w:lang w:eastAsia="zh-CN" w:bidi="zh-CN"/>
        </w:rPr>
      </w:pPr>
      <w:r>
        <w:rPr>
          <w:rFonts w:hint="eastAsia" w:ascii="仿宋" w:hAnsi="仿宋" w:eastAsia="仿宋" w:cs="仿宋"/>
          <w:b/>
          <w:bCs/>
          <w:sz w:val="32"/>
          <w:szCs w:val="32"/>
          <w:highlight w:val="none"/>
          <w:lang w:eastAsia="zh-CN"/>
        </w:rPr>
        <w:t>第四十八条</w:t>
      </w:r>
      <w:r>
        <w:rPr>
          <w:rFonts w:hint="eastAsia" w:ascii="仿宋" w:hAnsi="仿宋" w:eastAsia="仿宋" w:cs="仿宋"/>
          <w:sz w:val="32"/>
          <w:szCs w:val="32"/>
          <w:highlight w:val="none"/>
          <w:lang w:val="en-US" w:eastAsia="zh-CN" w:bidi="zh-CN"/>
        </w:rPr>
        <w:t xml:space="preserve">   </w:t>
      </w:r>
      <w:r>
        <w:rPr>
          <w:rFonts w:hint="eastAsia" w:ascii="仿宋" w:hAnsi="仿宋" w:eastAsia="仿宋" w:cs="仿宋"/>
          <w:sz w:val="32"/>
          <w:szCs w:val="32"/>
          <w:highlight w:val="none"/>
          <w:lang w:eastAsia="zh-CN" w:bidi="zh-CN"/>
        </w:rPr>
        <w:t>根据年度工作计划，编制各项目的“收入”“业务活动成本”“管理费用”等预算初稿，经</w:t>
      </w:r>
      <w:r>
        <w:rPr>
          <w:rFonts w:hint="eastAsia" w:ascii="仿宋" w:hAnsi="仿宋" w:eastAsia="仿宋" w:cs="仿宋"/>
          <w:sz w:val="32"/>
          <w:szCs w:val="32"/>
          <w:highlight w:val="none"/>
          <w:lang w:val="en-US" w:eastAsia="zh-CN" w:bidi="zh-CN"/>
        </w:rPr>
        <w:t>理事会决议通过后</w:t>
      </w:r>
      <w:r>
        <w:rPr>
          <w:rFonts w:hint="eastAsia" w:ascii="仿宋" w:hAnsi="仿宋" w:eastAsia="仿宋" w:cs="仿宋"/>
          <w:sz w:val="32"/>
          <w:szCs w:val="32"/>
          <w:highlight w:val="none"/>
          <w:lang w:eastAsia="zh-CN" w:bidi="zh-CN"/>
        </w:rPr>
        <w:t>形成年度财务预算。</w:t>
      </w:r>
    </w:p>
    <w:p w14:paraId="51132069">
      <w:pPr>
        <w:pStyle w:val="10"/>
        <w:shd w:val="clear" w:color="auto" w:fill="auto"/>
        <w:spacing w:before="100" w:beforeAutospacing="1" w:after="100" w:afterAutospacing="1" w:line="240" w:lineRule="auto"/>
        <w:ind w:firstLine="0"/>
        <w:jc w:val="center"/>
        <w:rPr>
          <w:rFonts w:hint="eastAsia" w:ascii="仿宋" w:hAnsi="仿宋" w:eastAsia="仿宋" w:cs="仿宋"/>
          <w:b/>
          <w:bCs w:val="0"/>
          <w:sz w:val="32"/>
          <w:szCs w:val="32"/>
        </w:rPr>
      </w:pPr>
      <w:r>
        <w:rPr>
          <w:rFonts w:hint="eastAsia" w:ascii="仿宋" w:hAnsi="仿宋" w:eastAsia="仿宋" w:cs="仿宋"/>
          <w:b/>
          <w:bCs w:val="0"/>
          <w:sz w:val="32"/>
          <w:szCs w:val="32"/>
        </w:rPr>
        <w:t>第十五章 会计档案管理</w:t>
      </w:r>
    </w:p>
    <w:p w14:paraId="1968BFCF">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会计档案按相对应时间装订，按国家法律条款保管。 </w:t>
      </w:r>
    </w:p>
    <w:p w14:paraId="76E0CFE1">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lang w:eastAsia="zh-CN"/>
        </w:rPr>
        <w:t>第四十九条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会计凭证</w:t>
      </w:r>
      <w:r>
        <w:rPr>
          <w:rFonts w:hint="eastAsia" w:ascii="仿宋" w:hAnsi="仿宋" w:eastAsia="仿宋" w:cs="仿宋"/>
          <w:sz w:val="32"/>
          <w:szCs w:val="32"/>
          <w:lang w:eastAsia="zh-CN"/>
        </w:rPr>
        <w:t>，</w:t>
      </w:r>
      <w:r>
        <w:rPr>
          <w:rFonts w:hint="eastAsia" w:ascii="仿宋" w:hAnsi="仿宋" w:eastAsia="仿宋" w:cs="仿宋"/>
          <w:sz w:val="32"/>
          <w:szCs w:val="32"/>
        </w:rPr>
        <w:t>包括原始凭证、记账凭证</w:t>
      </w:r>
      <w:r>
        <w:rPr>
          <w:rFonts w:hint="eastAsia" w:ascii="仿宋" w:hAnsi="仿宋" w:eastAsia="仿宋" w:cs="仿宋"/>
          <w:sz w:val="32"/>
          <w:szCs w:val="32"/>
          <w:lang w:eastAsia="zh-CN"/>
        </w:rPr>
        <w:t>；</w:t>
      </w:r>
    </w:p>
    <w:p w14:paraId="60E322F3">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lang w:eastAsia="zh-CN"/>
        </w:rPr>
        <w:t>第五十条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会计账簿</w:t>
      </w:r>
      <w:r>
        <w:rPr>
          <w:rFonts w:hint="eastAsia" w:ascii="仿宋" w:hAnsi="仿宋" w:eastAsia="仿宋" w:cs="仿宋"/>
          <w:sz w:val="32"/>
          <w:szCs w:val="32"/>
          <w:lang w:eastAsia="zh-CN"/>
        </w:rPr>
        <w:t>，</w:t>
      </w:r>
      <w:r>
        <w:rPr>
          <w:rFonts w:hint="eastAsia" w:ascii="仿宋" w:hAnsi="仿宋" w:eastAsia="仿宋" w:cs="仿宋"/>
          <w:sz w:val="32"/>
          <w:szCs w:val="32"/>
        </w:rPr>
        <w:t>包括总账、明细账、日记账；</w:t>
      </w:r>
    </w:p>
    <w:p w14:paraId="67FDAFB9">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lang w:eastAsia="zh-CN"/>
        </w:rPr>
        <w:t>第五十一条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财务会计报告</w:t>
      </w:r>
      <w:r>
        <w:rPr>
          <w:rFonts w:hint="eastAsia" w:ascii="仿宋" w:hAnsi="仿宋" w:eastAsia="仿宋" w:cs="仿宋"/>
          <w:sz w:val="32"/>
          <w:szCs w:val="32"/>
          <w:lang w:eastAsia="zh-CN"/>
        </w:rPr>
        <w:t>，</w:t>
      </w:r>
      <w:r>
        <w:rPr>
          <w:rFonts w:hint="eastAsia" w:ascii="仿宋" w:hAnsi="仿宋" w:eastAsia="仿宋" w:cs="仿宋"/>
          <w:sz w:val="32"/>
          <w:szCs w:val="32"/>
        </w:rPr>
        <w:t>包括半年度、年度财务会计报告</w:t>
      </w:r>
      <w:r>
        <w:rPr>
          <w:rFonts w:hint="eastAsia" w:ascii="仿宋" w:hAnsi="仿宋" w:eastAsia="仿宋" w:cs="仿宋"/>
          <w:sz w:val="32"/>
          <w:szCs w:val="32"/>
          <w:lang w:eastAsia="zh-CN"/>
        </w:rPr>
        <w:t>；</w:t>
      </w:r>
    </w:p>
    <w:p w14:paraId="65A32CC1">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lang w:eastAsia="zh-CN"/>
        </w:rPr>
        <w:t>第五十二条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其他会计资料</w:t>
      </w:r>
      <w:r>
        <w:rPr>
          <w:rFonts w:hint="eastAsia" w:ascii="仿宋" w:hAnsi="仿宋" w:eastAsia="仿宋" w:cs="仿宋"/>
          <w:sz w:val="32"/>
          <w:szCs w:val="32"/>
          <w:lang w:eastAsia="zh-CN"/>
        </w:rPr>
        <w:t>，</w:t>
      </w:r>
      <w:r>
        <w:rPr>
          <w:rFonts w:hint="eastAsia" w:ascii="仿宋" w:hAnsi="仿宋" w:eastAsia="仿宋" w:cs="仿宋"/>
          <w:sz w:val="32"/>
          <w:szCs w:val="32"/>
        </w:rPr>
        <w:t>包括银行存款余额调节表、银行对账单、纳税申报表、会计档案移交清册、会计档案保管清册、会计档案销毁清册、会计档案鉴定意见书、审计报告、统计报表、财务分析及其他具有保存价值的会计资料。</w:t>
      </w:r>
    </w:p>
    <w:p w14:paraId="5A6F8FF2">
      <w:pPr>
        <w:pStyle w:val="10"/>
        <w:shd w:val="clear" w:color="auto" w:fill="auto"/>
        <w:spacing w:before="100" w:beforeAutospacing="1" w:after="100" w:afterAutospacing="1" w:line="240" w:lineRule="auto"/>
        <w:ind w:firstLine="0"/>
        <w:jc w:val="center"/>
        <w:rPr>
          <w:rFonts w:hint="eastAsia" w:ascii="仿宋" w:hAnsi="仿宋" w:eastAsia="仿宋" w:cs="仿宋"/>
          <w:bCs/>
          <w:sz w:val="32"/>
          <w:szCs w:val="32"/>
        </w:rPr>
      </w:pPr>
      <w:r>
        <w:rPr>
          <w:rFonts w:hint="eastAsia" w:ascii="仿宋" w:hAnsi="仿宋" w:eastAsia="仿宋" w:cs="仿宋"/>
          <w:b/>
          <w:bCs w:val="0"/>
          <w:sz w:val="32"/>
          <w:szCs w:val="32"/>
        </w:rPr>
        <w:t>第十六章 财务报告</w:t>
      </w:r>
    </w:p>
    <w:p w14:paraId="5DA3AD35">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lang w:eastAsia="zh-CN"/>
        </w:rPr>
        <w:t>第五十三条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根据《民间非营利组织会计制度》的规定，对外提供真实、完整的财务报告，定期报送</w:t>
      </w:r>
      <w:r>
        <w:rPr>
          <w:rFonts w:hint="eastAsia" w:ascii="仿宋" w:hAnsi="仿宋" w:eastAsia="仿宋" w:cs="仿宋"/>
          <w:sz w:val="32"/>
          <w:szCs w:val="32"/>
          <w:lang w:val="en-US" w:eastAsia="zh-CN"/>
        </w:rPr>
        <w:t>基金会</w:t>
      </w:r>
      <w:r>
        <w:rPr>
          <w:rFonts w:hint="eastAsia" w:ascii="仿宋" w:hAnsi="仿宋" w:eastAsia="仿宋" w:cs="仿宋"/>
          <w:sz w:val="32"/>
          <w:szCs w:val="32"/>
        </w:rPr>
        <w:t>登记管理机关，向捐赠人报告基金使用情况。</w:t>
      </w:r>
    </w:p>
    <w:p w14:paraId="7387A447">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lang w:eastAsia="zh-CN"/>
        </w:rPr>
        <w:t>第五十四条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财务报告包括会计报表、会计报表附注和财务情况说明书。基金会对外提供的财务报告的内容、会计报表的种类和格式、会计报表附注应予披露的主要内容等，按《民间非营利组织会计制度》的规定编制</w:t>
      </w:r>
    </w:p>
    <w:p w14:paraId="14624B87">
      <w:pPr>
        <w:pStyle w:val="10"/>
        <w:shd w:val="clear" w:color="auto" w:fill="auto"/>
        <w:spacing w:before="100" w:beforeAutospacing="1" w:after="100" w:afterAutospacing="1" w:line="240" w:lineRule="auto"/>
        <w:ind w:firstLine="0"/>
        <w:jc w:val="center"/>
        <w:rPr>
          <w:rFonts w:hint="eastAsia" w:ascii="仿宋" w:hAnsi="仿宋" w:eastAsia="仿宋" w:cs="仿宋"/>
          <w:b/>
          <w:bCs w:val="0"/>
          <w:sz w:val="32"/>
          <w:szCs w:val="32"/>
        </w:rPr>
      </w:pPr>
      <w:r>
        <w:rPr>
          <w:rFonts w:hint="eastAsia" w:ascii="仿宋" w:hAnsi="仿宋" w:eastAsia="仿宋" w:cs="仿宋"/>
          <w:b/>
          <w:bCs w:val="0"/>
          <w:sz w:val="32"/>
          <w:szCs w:val="32"/>
        </w:rPr>
        <w:t>第十七章 分支机构财务管理（专项基金的审计与监督）</w:t>
      </w:r>
    </w:p>
    <w:p w14:paraId="42AFF5E7">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lang w:eastAsia="zh-CN"/>
        </w:rPr>
        <w:t>第五十五条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基金会的分支机构不具有独立的法人资格，不单独开立银行账户，适用于基金会的项目管理，其财务收支均执行基金会财务管理制度及相关规定。</w:t>
      </w:r>
    </w:p>
    <w:p w14:paraId="27DE3C02">
      <w:pPr>
        <w:pStyle w:val="10"/>
        <w:shd w:val="clear" w:color="auto" w:fill="auto"/>
        <w:spacing w:before="100" w:beforeAutospacing="1" w:after="100" w:afterAutospacing="1" w:line="240" w:lineRule="auto"/>
        <w:ind w:firstLine="0"/>
        <w:jc w:val="center"/>
        <w:rPr>
          <w:rFonts w:hint="eastAsia" w:ascii="仿宋" w:hAnsi="仿宋" w:eastAsia="仿宋" w:cs="仿宋"/>
          <w:bCs/>
          <w:sz w:val="32"/>
          <w:szCs w:val="32"/>
        </w:rPr>
      </w:pPr>
      <w:r>
        <w:rPr>
          <w:rFonts w:hint="eastAsia" w:ascii="仿宋" w:hAnsi="仿宋" w:eastAsia="仿宋" w:cs="仿宋"/>
          <w:b/>
          <w:bCs w:val="0"/>
          <w:sz w:val="32"/>
          <w:szCs w:val="32"/>
        </w:rPr>
        <w:t>第十八章 信息公开及审计</w:t>
      </w:r>
    </w:p>
    <w:p w14:paraId="7C130F5C">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lang w:eastAsia="zh-CN"/>
        </w:rPr>
        <w:t>第五十六条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基金会的信息公开工作，应当符合民政部《基金会信息公布办法》以及《关于规范基金会行为的若干规定（试行）的要求》。制定了《</w:t>
      </w:r>
      <w:r>
        <w:rPr>
          <w:rFonts w:hint="eastAsia" w:ascii="仿宋" w:hAnsi="仿宋" w:eastAsia="仿宋" w:cs="仿宋"/>
          <w:sz w:val="32"/>
          <w:szCs w:val="32"/>
          <w:lang w:val="en-US" w:eastAsia="zh-CN"/>
        </w:rPr>
        <w:t>济康</w:t>
      </w:r>
      <w:r>
        <w:rPr>
          <w:rFonts w:hint="eastAsia" w:ascii="仿宋" w:hAnsi="仿宋" w:eastAsia="仿宋" w:cs="仿宋"/>
          <w:sz w:val="32"/>
          <w:szCs w:val="32"/>
        </w:rPr>
        <w:t>公益基金会信息公开制度  》</w:t>
      </w:r>
    </w:p>
    <w:p w14:paraId="345EDC5D">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lang w:eastAsia="zh-CN"/>
        </w:rPr>
        <w:t>第五十七条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基金会在民政部门提供的统一信息平台（以下简称统一信息平台）向社会公开下列信息：</w:t>
      </w:r>
    </w:p>
    <w:p w14:paraId="2304E701">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shd w:val="clear" w:color="auto" w:fill="FFFFFF"/>
        </w:rPr>
        <w:t>（一）基本信息；</w:t>
      </w:r>
    </w:p>
    <w:p w14:paraId="57D551BF">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shd w:val="clear" w:color="auto" w:fill="FFFFFF"/>
        </w:rPr>
        <w:t>（二）年度工作报告、财务会计报告；</w:t>
      </w:r>
    </w:p>
    <w:p w14:paraId="2D4987BB">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shd w:val="clear" w:color="auto" w:fill="FFFFFF"/>
        </w:rPr>
        <w:t>（三）公益项目有关情况；</w:t>
      </w:r>
    </w:p>
    <w:p w14:paraId="2237791F">
      <w:pPr>
        <w:spacing w:line="54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shd w:val="clear" w:color="auto" w:fill="FFFFFF"/>
        </w:rPr>
        <w:t>（四）</w:t>
      </w:r>
      <w:r>
        <w:rPr>
          <w:rFonts w:hint="eastAsia" w:ascii="仿宋" w:hAnsi="仿宋" w:eastAsia="仿宋" w:cs="仿宋"/>
          <w:sz w:val="32"/>
          <w:szCs w:val="32"/>
          <w:highlight w:val="none"/>
        </w:rPr>
        <w:t>重大资产变动及投资、重大交换交易及资金往来、关联交易行为等情况；</w:t>
      </w:r>
    </w:p>
    <w:p w14:paraId="2FA2E675">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shd w:val="clear" w:color="auto" w:fill="FFFFFF"/>
        </w:rPr>
        <w:t>（五）</w:t>
      </w:r>
      <w:r>
        <w:rPr>
          <w:rFonts w:hint="eastAsia" w:ascii="仿宋" w:hAnsi="仿宋" w:eastAsia="仿宋" w:cs="仿宋"/>
          <w:sz w:val="32"/>
          <w:szCs w:val="32"/>
        </w:rPr>
        <w:t>法律法规要求公开的其他信息。</w:t>
      </w:r>
    </w:p>
    <w:p w14:paraId="28CA7ADB">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lang w:eastAsia="zh-CN"/>
        </w:rPr>
        <w:t>第五十八条</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基金会财务工作接受国家有关部门的审计。基金会根据需要，聘请具有国家规定的审计资格的机构进行审计。审计结果向主管部门呈报并向社会公布。</w:t>
      </w:r>
    </w:p>
    <w:p w14:paraId="596EBDC9">
      <w:pPr>
        <w:pStyle w:val="10"/>
        <w:shd w:val="clear" w:color="auto" w:fill="auto"/>
        <w:spacing w:before="100" w:beforeAutospacing="1" w:after="100" w:afterAutospacing="1" w:line="240" w:lineRule="auto"/>
        <w:ind w:firstLine="0"/>
        <w:jc w:val="center"/>
        <w:rPr>
          <w:rFonts w:hint="eastAsia" w:ascii="仿宋" w:hAnsi="仿宋" w:eastAsia="仿宋" w:cs="仿宋"/>
          <w:bCs/>
          <w:sz w:val="32"/>
          <w:szCs w:val="32"/>
        </w:rPr>
      </w:pPr>
      <w:r>
        <w:rPr>
          <w:rFonts w:hint="eastAsia" w:ascii="仿宋" w:hAnsi="仿宋" w:eastAsia="仿宋" w:cs="仿宋"/>
          <w:b/>
          <w:bCs w:val="0"/>
          <w:sz w:val="32"/>
          <w:szCs w:val="32"/>
        </w:rPr>
        <w:t>第十九章 禁止事项</w:t>
      </w:r>
    </w:p>
    <w:p w14:paraId="51C0F671">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lang w:eastAsia="zh-CN"/>
        </w:rPr>
        <w:t>第五十九条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基金会财务业务中的禁止事项包括但不限于以下内容：</w:t>
      </w:r>
    </w:p>
    <w:p w14:paraId="2C918C34">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1、捐赠资金受益单位不得使用基金会项目款以任何名义对外提供借款和担保；</w:t>
      </w:r>
    </w:p>
    <w:p w14:paraId="0531E43F">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2、任何单位和个人不得以虚假的经济业务事项或者资料进行资金收付和会计核算；</w:t>
      </w:r>
    </w:p>
    <w:p w14:paraId="2B6AAE39">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3、任何单位和个人不得伪造、编造会计凭证、会计账簿及其他会计资料，不得提供虚假的财务报告；</w:t>
      </w:r>
    </w:p>
    <w:p w14:paraId="5F6ACDE8">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w:t>
      </w:r>
      <w:r>
        <w:rPr>
          <w:rFonts w:hint="eastAsia" w:ascii="仿宋" w:hAnsi="仿宋" w:eastAsia="仿宋" w:cs="仿宋"/>
          <w:sz w:val="32"/>
          <w:szCs w:val="32"/>
        </w:rPr>
        <w:tab/>
      </w:r>
      <w:r>
        <w:rPr>
          <w:rFonts w:hint="eastAsia" w:ascii="仿宋" w:hAnsi="仿宋" w:eastAsia="仿宋" w:cs="仿宋"/>
          <w:sz w:val="32"/>
          <w:szCs w:val="32"/>
        </w:rPr>
        <w:t>严禁挪用公款，严禁私设“小金库”；</w:t>
      </w:r>
    </w:p>
    <w:p w14:paraId="2DA79873">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w:t>
      </w:r>
      <w:r>
        <w:rPr>
          <w:rFonts w:hint="eastAsia" w:ascii="仿宋" w:hAnsi="仿宋" w:eastAsia="仿宋" w:cs="仿宋"/>
          <w:sz w:val="32"/>
          <w:szCs w:val="32"/>
        </w:rPr>
        <w:tab/>
      </w:r>
      <w:r>
        <w:rPr>
          <w:rFonts w:hint="eastAsia" w:ascii="仿宋" w:hAnsi="仿宋" w:eastAsia="仿宋" w:cs="仿宋"/>
          <w:sz w:val="32"/>
          <w:szCs w:val="32"/>
        </w:rPr>
        <w:t>严禁以虚假经济业务套取现金；</w:t>
      </w:r>
    </w:p>
    <w:p w14:paraId="181ECE05">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w:t>
      </w:r>
      <w:r>
        <w:rPr>
          <w:rFonts w:hint="eastAsia" w:ascii="仿宋" w:hAnsi="仿宋" w:eastAsia="仿宋" w:cs="仿宋"/>
          <w:sz w:val="32"/>
          <w:szCs w:val="32"/>
        </w:rPr>
        <w:tab/>
      </w:r>
      <w:r>
        <w:rPr>
          <w:rFonts w:hint="eastAsia" w:ascii="仿宋" w:hAnsi="仿宋" w:eastAsia="仿宋" w:cs="仿宋"/>
          <w:sz w:val="32"/>
          <w:szCs w:val="32"/>
        </w:rPr>
        <w:t>严禁以虚假的经济业务转移经费；</w:t>
      </w:r>
    </w:p>
    <w:p w14:paraId="256CB1A1">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7、</w:t>
      </w:r>
      <w:r>
        <w:rPr>
          <w:rFonts w:hint="eastAsia" w:ascii="仿宋" w:hAnsi="仿宋" w:eastAsia="仿宋" w:cs="仿宋"/>
          <w:sz w:val="32"/>
          <w:szCs w:val="32"/>
        </w:rPr>
        <w:tab/>
      </w:r>
      <w:r>
        <w:rPr>
          <w:rFonts w:hint="eastAsia" w:ascii="仿宋" w:hAnsi="仿宋" w:eastAsia="仿宋" w:cs="仿宋"/>
          <w:sz w:val="32"/>
          <w:szCs w:val="32"/>
        </w:rPr>
        <w:t>严禁开支与业务无关的款项；</w:t>
      </w:r>
    </w:p>
    <w:p w14:paraId="526356E5">
      <w:pPr>
        <w:spacing w:line="5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8、</w:t>
      </w:r>
      <w:r>
        <w:rPr>
          <w:rFonts w:hint="eastAsia" w:ascii="仿宋" w:hAnsi="仿宋" w:eastAsia="仿宋" w:cs="仿宋"/>
          <w:sz w:val="32"/>
          <w:szCs w:val="32"/>
        </w:rPr>
        <w:tab/>
      </w:r>
      <w:r>
        <w:rPr>
          <w:rFonts w:hint="eastAsia" w:ascii="仿宋" w:hAnsi="仿宋" w:eastAsia="仿宋" w:cs="仿宋"/>
          <w:sz w:val="32"/>
          <w:szCs w:val="32"/>
        </w:rPr>
        <w:t>严禁随意调账。</w:t>
      </w:r>
    </w:p>
    <w:p w14:paraId="1A5B0AF5">
      <w:pPr>
        <w:pStyle w:val="10"/>
        <w:shd w:val="clear" w:color="auto" w:fill="auto"/>
        <w:spacing w:before="100" w:beforeAutospacing="1" w:after="100" w:afterAutospacing="1" w:line="240" w:lineRule="auto"/>
        <w:ind w:firstLine="0"/>
        <w:jc w:val="center"/>
        <w:rPr>
          <w:rFonts w:hint="eastAsia" w:ascii="仿宋" w:hAnsi="仿宋" w:eastAsia="仿宋" w:cs="仿宋"/>
          <w:b/>
          <w:bCs w:val="0"/>
          <w:sz w:val="32"/>
          <w:szCs w:val="32"/>
        </w:rPr>
      </w:pPr>
      <w:r>
        <w:rPr>
          <w:rFonts w:hint="eastAsia" w:ascii="仿宋" w:hAnsi="仿宋" w:eastAsia="仿宋" w:cs="仿宋"/>
          <w:b/>
          <w:bCs w:val="0"/>
          <w:sz w:val="32"/>
          <w:szCs w:val="32"/>
        </w:rPr>
        <w:t>第</w:t>
      </w:r>
      <w:r>
        <w:rPr>
          <w:rFonts w:hint="eastAsia" w:ascii="仿宋" w:hAnsi="仿宋" w:eastAsia="仿宋" w:cs="仿宋"/>
          <w:b/>
          <w:bCs w:val="0"/>
          <w:sz w:val="32"/>
          <w:szCs w:val="32"/>
          <w:lang w:val="en-US" w:eastAsia="zh-CN"/>
        </w:rPr>
        <w:t>二十</w:t>
      </w:r>
      <w:r>
        <w:rPr>
          <w:rFonts w:hint="eastAsia" w:ascii="仿宋" w:hAnsi="仿宋" w:eastAsia="仿宋" w:cs="仿宋"/>
          <w:b/>
          <w:bCs w:val="0"/>
          <w:sz w:val="32"/>
          <w:szCs w:val="32"/>
        </w:rPr>
        <w:t>章附则</w:t>
      </w:r>
    </w:p>
    <w:p w14:paraId="415E4F91">
      <w:pPr>
        <w:spacing w:line="540" w:lineRule="exact"/>
        <w:ind w:firstLine="643" w:firstLineChars="200"/>
        <w:rPr>
          <w:rFonts w:hint="eastAsia" w:ascii="仿宋" w:hAnsi="仿宋" w:eastAsia="仿宋" w:cs="仿宋"/>
          <w:sz w:val="32"/>
          <w:szCs w:val="32"/>
        </w:rPr>
      </w:pPr>
      <w:r>
        <w:rPr>
          <w:rFonts w:hint="eastAsia" w:ascii="仿宋" w:hAnsi="仿宋" w:eastAsia="仿宋" w:cs="仿宋"/>
          <w:b/>
          <w:bCs/>
          <w:sz w:val="32"/>
          <w:szCs w:val="32"/>
          <w:lang w:eastAsia="zh-CN"/>
        </w:rPr>
        <w:t>第</w:t>
      </w:r>
      <w:r>
        <w:rPr>
          <w:rFonts w:hint="eastAsia" w:ascii="仿宋" w:hAnsi="仿宋" w:eastAsia="仿宋" w:cs="仿宋"/>
          <w:b/>
          <w:bCs/>
          <w:sz w:val="32"/>
          <w:szCs w:val="32"/>
          <w:lang w:val="en-US" w:eastAsia="zh-CN"/>
        </w:rPr>
        <w:t>六十</w:t>
      </w:r>
      <w:r>
        <w:rPr>
          <w:rFonts w:hint="eastAsia" w:ascii="仿宋" w:hAnsi="仿宋" w:eastAsia="仿宋" w:cs="仿宋"/>
          <w:b/>
          <w:bCs/>
          <w:sz w:val="32"/>
          <w:szCs w:val="32"/>
          <w:lang w:eastAsia="zh-CN"/>
        </w:rPr>
        <w:t>条</w:t>
      </w:r>
      <w:r>
        <w:rPr>
          <w:rFonts w:hint="eastAsia" w:ascii="仿宋" w:hAnsi="仿宋" w:eastAsia="仿宋" w:cs="仿宋"/>
          <w:b/>
          <w:bCs/>
          <w:sz w:val="32"/>
          <w:szCs w:val="32"/>
          <w:lang w:val="en-US" w:eastAsia="zh-CN"/>
        </w:rPr>
        <w:t xml:space="preserve">  </w:t>
      </w:r>
      <w:r>
        <w:rPr>
          <w:rFonts w:hint="eastAsia" w:ascii="仿宋" w:hAnsi="仿宋" w:eastAsia="仿宋" w:cs="仿宋"/>
          <w:sz w:val="32"/>
          <w:szCs w:val="32"/>
        </w:rPr>
        <w:t>本财务管理制度由</w:t>
      </w:r>
      <w:r>
        <w:rPr>
          <w:rFonts w:hint="eastAsia" w:ascii="仿宋" w:hAnsi="仿宋" w:eastAsia="仿宋" w:cs="仿宋"/>
          <w:sz w:val="32"/>
          <w:szCs w:val="32"/>
          <w:lang w:val="en-US" w:eastAsia="zh-CN"/>
        </w:rPr>
        <w:t>理事会审议通过后执行，由秘书处</w:t>
      </w:r>
      <w:bookmarkStart w:id="2" w:name="_GoBack"/>
      <w:bookmarkEnd w:id="2"/>
      <w:r>
        <w:rPr>
          <w:rFonts w:hint="eastAsia" w:ascii="仿宋" w:hAnsi="仿宋" w:eastAsia="仿宋" w:cs="仿宋"/>
          <w:sz w:val="32"/>
          <w:szCs w:val="32"/>
        </w:rPr>
        <w:t>负责解释。</w:t>
      </w:r>
    </w:p>
    <w:p w14:paraId="4792121E">
      <w:pPr>
        <w:spacing w:line="540" w:lineRule="exact"/>
        <w:ind w:firstLine="640" w:firstLineChars="200"/>
        <w:rPr>
          <w:rFonts w:hint="eastAsia" w:ascii="仿宋" w:hAnsi="仿宋" w:eastAsia="仿宋" w:cs="仿宋"/>
          <w:sz w:val="32"/>
          <w:szCs w:val="32"/>
        </w:rPr>
      </w:pPr>
    </w:p>
    <w:sectPr>
      <w:footerReference r:id="rId5" w:type="default"/>
      <w:pgSz w:w="11900" w:h="16840"/>
      <w:pgMar w:top="1247" w:right="1704" w:bottom="1093" w:left="1738" w:header="819" w:footer="665" w:gutter="0"/>
      <w:pgNumType w:start="1"/>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endnote>
  <w:endnote w:type="continuationSeparator" w:id="1">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icrosoft JhengHei Light">
    <w:panose1 w:val="020B0304030504040204"/>
    <w:charset w:val="88"/>
    <w:family w:val="swiss"/>
    <w:pitch w:val="default"/>
    <w:sig w:usb0="800002A7" w:usb1="28CF4400" w:usb2="00000016" w:usb3="00000000" w:csb0="00100009" w:csb1="0000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DC2E54">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076F933">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14:paraId="5076F933">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footnote>
  <w:footnote w:type="continuationSeparator" w:id="1">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bordersDoNotSurroundHeader w:val="0"/>
  <w:bordersDoNotSurroundFooter w:val="0"/>
  <w:documentProtection w:enforcement="0"/>
  <w:defaultTabStop w:val="420"/>
  <w:drawingGridHorizontalSpacing w:val="181"/>
  <w:drawingGridVerticalSpacing w:val="181"/>
  <w:displayHorizontalDrawingGridEvery w:val="1"/>
  <w:displayVerticalDrawingGridEvery w:val="1"/>
  <w:noPunctuationKerning w:val="1"/>
  <w:characterSpacingControl w:val="compressPunctuation"/>
  <w:hdrShapeDefaults>
    <o:shapelayout v:ext="edit">
      <o:idmap v:ext="edit" data="3,4"/>
    </o:shapelayout>
  </w:hdrShapeDefaults>
  <w:footnotePr>
    <w:footnote w:id="0"/>
    <w:footnote w:id="1"/>
  </w:footnotePr>
  <w:endnotePr>
    <w:endnote w:id="0"/>
    <w:endnote w:id="1"/>
  </w:endnotePr>
  <w:compat>
    <w:doNotExpandShiftReturn/>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I3ZWIyZjFmZDY3Y2EyNGNmOWMzODY0MjJhZjQzMmIifQ=="/>
  </w:docVars>
  <w:rsids>
    <w:rsidRoot w:val="00ED390D"/>
    <w:rsid w:val="00056D97"/>
    <w:rsid w:val="000D7E0C"/>
    <w:rsid w:val="00161BC3"/>
    <w:rsid w:val="00223294"/>
    <w:rsid w:val="00351973"/>
    <w:rsid w:val="00360D5F"/>
    <w:rsid w:val="003616BC"/>
    <w:rsid w:val="003E7D82"/>
    <w:rsid w:val="0043303A"/>
    <w:rsid w:val="004F0D44"/>
    <w:rsid w:val="00536065"/>
    <w:rsid w:val="00707DBB"/>
    <w:rsid w:val="0075362B"/>
    <w:rsid w:val="00775868"/>
    <w:rsid w:val="008F25B0"/>
    <w:rsid w:val="00B90A40"/>
    <w:rsid w:val="00BF5719"/>
    <w:rsid w:val="00CF0698"/>
    <w:rsid w:val="00E534F3"/>
    <w:rsid w:val="00E54A58"/>
    <w:rsid w:val="00ED390D"/>
    <w:rsid w:val="00F4309D"/>
    <w:rsid w:val="0263683A"/>
    <w:rsid w:val="03865588"/>
    <w:rsid w:val="08FF6DDD"/>
    <w:rsid w:val="0909585E"/>
    <w:rsid w:val="1404150D"/>
    <w:rsid w:val="186806D3"/>
    <w:rsid w:val="18CA2226"/>
    <w:rsid w:val="195C35BB"/>
    <w:rsid w:val="19962C07"/>
    <w:rsid w:val="1C8A2BFC"/>
    <w:rsid w:val="200C3C23"/>
    <w:rsid w:val="21F83636"/>
    <w:rsid w:val="278B7B24"/>
    <w:rsid w:val="279D43B0"/>
    <w:rsid w:val="27B125B5"/>
    <w:rsid w:val="2A730F7D"/>
    <w:rsid w:val="2E2E745B"/>
    <w:rsid w:val="36631C6B"/>
    <w:rsid w:val="37EB7A24"/>
    <w:rsid w:val="388108C3"/>
    <w:rsid w:val="3AF76B29"/>
    <w:rsid w:val="3BE60BAD"/>
    <w:rsid w:val="3BEE5A2D"/>
    <w:rsid w:val="3DA12930"/>
    <w:rsid w:val="3DE25B6C"/>
    <w:rsid w:val="3EBF6700"/>
    <w:rsid w:val="43941198"/>
    <w:rsid w:val="48455675"/>
    <w:rsid w:val="49515630"/>
    <w:rsid w:val="4A4A7FE3"/>
    <w:rsid w:val="4C693860"/>
    <w:rsid w:val="50A0449B"/>
    <w:rsid w:val="518B05ED"/>
    <w:rsid w:val="5531482F"/>
    <w:rsid w:val="575651A9"/>
    <w:rsid w:val="5C8721EA"/>
    <w:rsid w:val="5EE50D7D"/>
    <w:rsid w:val="612E43FE"/>
    <w:rsid w:val="63A81018"/>
    <w:rsid w:val="684D4297"/>
    <w:rsid w:val="6992442F"/>
    <w:rsid w:val="6B805594"/>
    <w:rsid w:val="6D5564AF"/>
    <w:rsid w:val="6FD573D8"/>
    <w:rsid w:val="79E721AF"/>
    <w:rsid w:val="7B0E1773"/>
    <w:rsid w:val="7B862286"/>
    <w:rsid w:val="7B9362CC"/>
    <w:rsid w:val="7F1102A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pPr>
    <w:rPr>
      <w:rFonts w:ascii="Microsoft JhengHei Light" w:hAnsi="Microsoft JhengHei Light" w:eastAsia="Microsoft JhengHei Light" w:cs="Microsoft JhengHei Light"/>
      <w:color w:val="000000"/>
      <w:sz w:val="24"/>
      <w:szCs w:val="24"/>
      <w:lang w:val="en-US" w:eastAsia="en-US" w:bidi="en-US"/>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uiPriority w:val="99"/>
    <w:pPr>
      <w:jc w:val="left"/>
    </w:pPr>
  </w:style>
  <w:style w:type="paragraph" w:styleId="3">
    <w:name w:val="footer"/>
    <w:basedOn w:val="1"/>
    <w:link w:val="12"/>
    <w:unhideWhenUsed/>
    <w:qFormat/>
    <w:uiPriority w:val="99"/>
    <w:pPr>
      <w:tabs>
        <w:tab w:val="center" w:pos="4153"/>
        <w:tab w:val="right" w:pos="8306"/>
      </w:tabs>
      <w:snapToGrid w:val="0"/>
    </w:pPr>
    <w:rPr>
      <w:sz w:val="18"/>
      <w:szCs w:val="18"/>
    </w:rPr>
  </w:style>
  <w:style w:type="paragraph" w:styleId="4">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标题 #1_"/>
    <w:basedOn w:val="6"/>
    <w:link w:val="8"/>
    <w:qFormat/>
    <w:uiPriority w:val="0"/>
    <w:rPr>
      <w:rFonts w:ascii="MingLiU" w:hAnsi="MingLiU" w:eastAsia="MingLiU" w:cs="MingLiU"/>
      <w:sz w:val="28"/>
      <w:szCs w:val="28"/>
      <w:u w:val="none"/>
      <w:lang w:val="zh-CN" w:eastAsia="zh-CN" w:bidi="zh-CN"/>
    </w:rPr>
  </w:style>
  <w:style w:type="paragraph" w:customStyle="1" w:styleId="8">
    <w:name w:val="标题 #1"/>
    <w:basedOn w:val="1"/>
    <w:link w:val="7"/>
    <w:qFormat/>
    <w:uiPriority w:val="0"/>
    <w:pPr>
      <w:shd w:val="clear" w:color="auto" w:fill="FFFFFF"/>
      <w:spacing w:before="1080" w:after="460"/>
      <w:jc w:val="center"/>
      <w:outlineLvl w:val="0"/>
    </w:pPr>
    <w:rPr>
      <w:rFonts w:ascii="MingLiU" w:hAnsi="MingLiU" w:eastAsia="MingLiU" w:cs="MingLiU"/>
      <w:sz w:val="28"/>
      <w:szCs w:val="28"/>
      <w:lang w:val="zh-CN" w:eastAsia="zh-CN" w:bidi="zh-CN"/>
    </w:rPr>
  </w:style>
  <w:style w:type="character" w:customStyle="1" w:styleId="9">
    <w:name w:val="正文文本_"/>
    <w:basedOn w:val="6"/>
    <w:link w:val="10"/>
    <w:qFormat/>
    <w:uiPriority w:val="0"/>
    <w:rPr>
      <w:rFonts w:ascii="MingLiU" w:hAnsi="MingLiU" w:eastAsia="MingLiU" w:cs="MingLiU"/>
      <w:sz w:val="22"/>
      <w:szCs w:val="22"/>
      <w:u w:val="none"/>
      <w:lang w:val="zh-CN" w:eastAsia="zh-CN" w:bidi="zh-CN"/>
    </w:rPr>
  </w:style>
  <w:style w:type="paragraph" w:customStyle="1" w:styleId="10">
    <w:name w:val="正文文本1"/>
    <w:basedOn w:val="1"/>
    <w:link w:val="9"/>
    <w:qFormat/>
    <w:uiPriority w:val="0"/>
    <w:pPr>
      <w:shd w:val="clear" w:color="auto" w:fill="FFFFFF"/>
      <w:spacing w:line="427" w:lineRule="auto"/>
      <w:ind w:firstLine="400"/>
    </w:pPr>
    <w:rPr>
      <w:rFonts w:ascii="MingLiU" w:hAnsi="MingLiU" w:eastAsia="MingLiU" w:cs="MingLiU"/>
      <w:sz w:val="22"/>
      <w:szCs w:val="22"/>
      <w:lang w:val="zh-CN" w:eastAsia="zh-CN" w:bidi="zh-CN"/>
    </w:rPr>
  </w:style>
  <w:style w:type="character" w:customStyle="1" w:styleId="11">
    <w:name w:val="页眉 Char"/>
    <w:basedOn w:val="6"/>
    <w:link w:val="4"/>
    <w:qFormat/>
    <w:uiPriority w:val="99"/>
    <w:rPr>
      <w:rFonts w:eastAsia="Microsoft JhengHei Light"/>
      <w:color w:val="000000"/>
      <w:sz w:val="18"/>
      <w:szCs w:val="18"/>
    </w:rPr>
  </w:style>
  <w:style w:type="character" w:customStyle="1" w:styleId="12">
    <w:name w:val="页脚 Char"/>
    <w:basedOn w:val="6"/>
    <w:link w:val="3"/>
    <w:qFormat/>
    <w:uiPriority w:val="99"/>
    <w:rPr>
      <w:rFonts w:eastAsia="Microsoft JhengHei Light"/>
      <w:color w:val="000000"/>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daohangxitong.com</Company>
  <Pages>13</Pages>
  <Words>6053</Words>
  <Characters>6070</Characters>
  <Lines>44</Lines>
  <Paragraphs>12</Paragraphs>
  <TotalTime>23</TotalTime>
  <ScaleCrop>false</ScaleCrop>
  <LinksUpToDate>false</LinksUpToDate>
  <CharactersWithSpaces>6221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2021-08-02T05:56:00Z</dcterms:created>
  <dc:creator>Administrator</dc:creator>
  <cp:lastModifiedBy>语过添情</cp:lastModifiedBy>
  <cp:lastPrinted>2025-06-06T08:09:00Z</cp:lastPrinted>
  <dcterms:modified xsi:type="dcterms:W3CDTF">2025-07-23T05:12:53Z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EB83460ACE344B649883F1E016C300D3_13</vt:lpwstr>
  </property>
  <property fmtid="{D5CDD505-2E9C-101B-9397-08002B2CF9AE}" pid="4" name="KSOTemplateDocerSaveRecord">
    <vt:lpwstr>eyJoZGlkIjoiZWM1N2VmZDlkN2NkZDU4ZjVmMTYzNGM1N2NlYzI3ZGYiLCJ1c2VySWQiOiIzMjk2MjUyNjcifQ==</vt:lpwstr>
  </property>
</Properties>
</file>